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F2C9F">
      <w:pPr>
        <w:tabs>
          <w:tab w:val="left" w:pos="3989"/>
        </w:tabs>
        <w:jc w:val="center"/>
        <w:rPr>
          <w:rFonts w:ascii="宋体" w:hAnsi="宋体" w:cs="宋体"/>
          <w:color w:val="auto"/>
          <w:sz w:val="60"/>
          <w:szCs w:val="60"/>
        </w:rPr>
      </w:pPr>
      <w:r>
        <w:rPr>
          <w:rFonts w:hint="eastAsia" w:ascii="宋体" w:hAnsi="宋体" w:cs="宋体"/>
          <w:color w:val="auto"/>
          <w:sz w:val="60"/>
          <w:szCs w:val="60"/>
        </w:rPr>
        <w:t>建安区政府采购</w:t>
      </w:r>
    </w:p>
    <w:p w14:paraId="3620C69D">
      <w:pPr>
        <w:jc w:val="center"/>
        <w:rPr>
          <w:rFonts w:ascii="宋体" w:hAnsi="宋体" w:cs="宋体"/>
          <w:color w:val="auto"/>
          <w:sz w:val="96"/>
          <w:szCs w:val="72"/>
        </w:rPr>
      </w:pPr>
    </w:p>
    <w:p w14:paraId="46F8EB3B">
      <w:pPr>
        <w:jc w:val="center"/>
        <w:rPr>
          <w:rFonts w:ascii="宋体" w:hAnsi="宋体" w:cs="宋体"/>
          <w:color w:val="auto"/>
          <w:sz w:val="96"/>
          <w:szCs w:val="72"/>
        </w:rPr>
      </w:pPr>
    </w:p>
    <w:p w14:paraId="09DFEA16">
      <w:pPr>
        <w:jc w:val="center"/>
        <w:rPr>
          <w:rFonts w:ascii="宋体" w:hAnsi="宋体" w:cs="宋体"/>
          <w:color w:val="auto"/>
          <w:sz w:val="60"/>
          <w:szCs w:val="56"/>
        </w:rPr>
      </w:pPr>
      <w:r>
        <w:rPr>
          <w:rFonts w:hint="eastAsia" w:ascii="宋体" w:hAnsi="宋体" w:cs="宋体"/>
          <w:color w:val="auto"/>
          <w:sz w:val="60"/>
          <w:szCs w:val="56"/>
        </w:rPr>
        <w:t>招</w:t>
      </w:r>
    </w:p>
    <w:p w14:paraId="0095B05D">
      <w:pPr>
        <w:jc w:val="center"/>
        <w:rPr>
          <w:rFonts w:ascii="宋体" w:hAnsi="宋体" w:cs="宋体"/>
          <w:color w:val="auto"/>
          <w:sz w:val="60"/>
          <w:szCs w:val="56"/>
        </w:rPr>
      </w:pPr>
      <w:r>
        <w:rPr>
          <w:rFonts w:hint="eastAsia" w:ascii="宋体" w:hAnsi="宋体" w:cs="宋体"/>
          <w:color w:val="auto"/>
          <w:sz w:val="60"/>
          <w:szCs w:val="56"/>
        </w:rPr>
        <w:t>标</w:t>
      </w:r>
    </w:p>
    <w:p w14:paraId="06A10B05">
      <w:pPr>
        <w:jc w:val="center"/>
        <w:rPr>
          <w:rFonts w:ascii="宋体" w:hAnsi="宋体" w:cs="宋体"/>
          <w:color w:val="auto"/>
          <w:sz w:val="60"/>
          <w:szCs w:val="56"/>
        </w:rPr>
      </w:pPr>
      <w:r>
        <w:rPr>
          <w:rFonts w:hint="eastAsia" w:ascii="宋体" w:hAnsi="宋体" w:cs="宋体"/>
          <w:color w:val="auto"/>
          <w:sz w:val="60"/>
          <w:szCs w:val="56"/>
        </w:rPr>
        <w:t>文</w:t>
      </w:r>
    </w:p>
    <w:p w14:paraId="64A9F4B4">
      <w:pPr>
        <w:jc w:val="center"/>
        <w:rPr>
          <w:rFonts w:hint="eastAsia" w:ascii="宋体" w:hAnsi="宋体" w:cs="宋体"/>
          <w:color w:val="auto"/>
          <w:sz w:val="60"/>
          <w:szCs w:val="56"/>
        </w:rPr>
      </w:pPr>
      <w:r>
        <w:rPr>
          <w:rFonts w:hint="eastAsia" w:ascii="宋体" w:hAnsi="宋体" w:cs="宋体"/>
          <w:color w:val="auto"/>
          <w:sz w:val="60"/>
          <w:szCs w:val="56"/>
        </w:rPr>
        <w:t>件</w:t>
      </w:r>
    </w:p>
    <w:p w14:paraId="2D8EEDF7">
      <w:pPr>
        <w:jc w:val="center"/>
        <w:rPr>
          <w:rFonts w:hint="eastAsia" w:eastAsia="宋体"/>
          <w:b w:val="0"/>
          <w:bCs w:val="0"/>
          <w:color w:val="auto"/>
          <w:sz w:val="36"/>
          <w:szCs w:val="36"/>
          <w:lang w:eastAsia="zh-CN"/>
        </w:rPr>
      </w:pPr>
      <w:r>
        <w:rPr>
          <w:rFonts w:hint="eastAsia"/>
          <w:b w:val="0"/>
          <w:bCs w:val="0"/>
          <w:color w:val="auto"/>
          <w:sz w:val="36"/>
          <w:szCs w:val="36"/>
          <w:lang w:eastAsia="zh-CN"/>
        </w:rPr>
        <w:t>（</w:t>
      </w:r>
      <w:r>
        <w:rPr>
          <w:rFonts w:hint="eastAsia"/>
          <w:b w:val="0"/>
          <w:bCs w:val="0"/>
          <w:color w:val="auto"/>
          <w:sz w:val="36"/>
          <w:szCs w:val="36"/>
          <w:lang w:val="en-US" w:eastAsia="zh-CN"/>
        </w:rPr>
        <w:t>不见面开标</w:t>
      </w:r>
      <w:r>
        <w:rPr>
          <w:rFonts w:hint="eastAsia"/>
          <w:b w:val="0"/>
          <w:bCs w:val="0"/>
          <w:color w:val="auto"/>
          <w:sz w:val="36"/>
          <w:szCs w:val="36"/>
          <w:lang w:eastAsia="zh-CN"/>
        </w:rPr>
        <w:t>）</w:t>
      </w:r>
    </w:p>
    <w:p w14:paraId="2C17166A">
      <w:pPr>
        <w:pStyle w:val="3"/>
        <w:rPr>
          <w:rFonts w:hint="default" w:ascii="宋体"/>
          <w:color w:val="auto"/>
          <w:szCs w:val="36"/>
        </w:rPr>
      </w:pPr>
    </w:p>
    <w:p w14:paraId="490C3770">
      <w:pPr>
        <w:rPr>
          <w:color w:val="auto"/>
        </w:rPr>
      </w:pPr>
    </w:p>
    <w:p w14:paraId="6D422596">
      <w:pPr>
        <w:rPr>
          <w:color w:val="auto"/>
        </w:rPr>
      </w:pPr>
    </w:p>
    <w:p w14:paraId="4AF5BA46">
      <w:pPr>
        <w:rPr>
          <w:color w:val="auto"/>
        </w:rPr>
      </w:pPr>
    </w:p>
    <w:p w14:paraId="076025FE">
      <w:pPr>
        <w:rPr>
          <w:color w:val="auto"/>
        </w:rPr>
      </w:pPr>
    </w:p>
    <w:p w14:paraId="27C5800B">
      <w:pPr>
        <w:rPr>
          <w:color w:val="auto"/>
        </w:rPr>
      </w:pPr>
    </w:p>
    <w:p w14:paraId="08F13607">
      <w:pPr>
        <w:rPr>
          <w:color w:val="auto"/>
        </w:rPr>
      </w:pPr>
    </w:p>
    <w:p w14:paraId="42DBC20C">
      <w:pPr>
        <w:rPr>
          <w:color w:val="auto"/>
        </w:rPr>
      </w:pPr>
    </w:p>
    <w:p w14:paraId="5856E3AD">
      <w:pPr>
        <w:spacing w:line="600" w:lineRule="exact"/>
        <w:ind w:firstLine="960" w:firstLineChars="300"/>
        <w:rPr>
          <w:rFonts w:hint="eastAsia" w:ascii="宋体" w:hAnsi="宋体" w:eastAsia="宋体" w:cs="宋体"/>
          <w:bCs/>
          <w:color w:val="auto"/>
          <w:sz w:val="32"/>
          <w:szCs w:val="32"/>
          <w:lang w:eastAsia="zh-CN"/>
        </w:rPr>
      </w:pPr>
      <w:r>
        <w:rPr>
          <w:rFonts w:hint="eastAsia" w:ascii="宋体" w:hAnsi="宋体" w:cs="宋体"/>
          <w:bCs/>
          <w:color w:val="auto"/>
          <w:sz w:val="32"/>
          <w:szCs w:val="32"/>
        </w:rPr>
        <w:t>项目编号：</w:t>
      </w:r>
      <w:r>
        <w:rPr>
          <w:rFonts w:hint="eastAsia" w:ascii="宋体" w:hAnsi="宋体" w:cs="宋体"/>
          <w:bCs/>
          <w:color w:val="auto"/>
          <w:sz w:val="32"/>
          <w:szCs w:val="32"/>
          <w:lang w:eastAsia="zh-CN"/>
        </w:rPr>
        <w:t>建安政采公字〔2024〕</w:t>
      </w:r>
      <w:r>
        <w:rPr>
          <w:rFonts w:hint="eastAsia" w:ascii="宋体" w:hAnsi="宋体" w:cs="宋体"/>
          <w:bCs/>
          <w:color w:val="auto"/>
          <w:sz w:val="32"/>
          <w:szCs w:val="32"/>
          <w:lang w:val="en-US" w:eastAsia="zh-CN"/>
        </w:rPr>
        <w:t>30</w:t>
      </w:r>
      <w:r>
        <w:rPr>
          <w:rFonts w:hint="eastAsia" w:ascii="宋体" w:hAnsi="宋体" w:cs="宋体"/>
          <w:bCs/>
          <w:color w:val="auto"/>
          <w:sz w:val="32"/>
          <w:szCs w:val="32"/>
          <w:lang w:eastAsia="zh-CN"/>
        </w:rPr>
        <w:t>号</w:t>
      </w:r>
    </w:p>
    <w:p w14:paraId="2EF0AB4F">
      <w:pPr>
        <w:spacing w:line="600" w:lineRule="exact"/>
        <w:ind w:firstLine="960" w:firstLineChars="300"/>
        <w:rPr>
          <w:rFonts w:hint="eastAsia" w:ascii="宋体" w:hAnsi="宋体" w:eastAsia="宋体" w:cs="宋体"/>
          <w:bCs/>
          <w:color w:val="auto"/>
          <w:sz w:val="32"/>
          <w:szCs w:val="32"/>
          <w:lang w:eastAsia="zh-CN"/>
        </w:rPr>
      </w:pPr>
      <w:r>
        <w:rPr>
          <w:rFonts w:hint="eastAsia" w:ascii="宋体" w:hAnsi="宋体" w:cs="宋体"/>
          <w:bCs/>
          <w:color w:val="auto"/>
          <w:sz w:val="32"/>
          <w:szCs w:val="32"/>
        </w:rPr>
        <w:t>项目名称：</w:t>
      </w:r>
      <w:r>
        <w:rPr>
          <w:rFonts w:hint="eastAsia" w:ascii="宋体" w:hAnsi="宋体" w:cs="宋体"/>
          <w:bCs/>
          <w:color w:val="auto"/>
          <w:sz w:val="32"/>
          <w:szCs w:val="32"/>
          <w:lang w:eastAsia="zh-CN"/>
        </w:rPr>
        <w:t>许昌市建安区农村配水管网工程</w:t>
      </w:r>
    </w:p>
    <w:p w14:paraId="5FD44C8C">
      <w:pPr>
        <w:spacing w:line="600" w:lineRule="exact"/>
        <w:ind w:firstLine="960" w:firstLineChars="300"/>
        <w:rPr>
          <w:rFonts w:hint="eastAsia" w:ascii="宋体" w:hAnsi="宋体" w:eastAsia="宋体" w:cs="宋体"/>
          <w:bCs/>
          <w:color w:val="auto"/>
          <w:sz w:val="32"/>
          <w:szCs w:val="32"/>
          <w:lang w:eastAsia="zh-CN"/>
        </w:rPr>
      </w:pPr>
      <w:r>
        <w:rPr>
          <w:rFonts w:hint="eastAsia" w:ascii="宋体" w:hAnsi="宋体" w:cs="宋体"/>
          <w:bCs/>
          <w:color w:val="auto"/>
          <w:sz w:val="32"/>
          <w:szCs w:val="32"/>
        </w:rPr>
        <w:t>采购单位：</w:t>
      </w:r>
      <w:r>
        <w:rPr>
          <w:rFonts w:hint="eastAsia" w:ascii="宋体" w:hAnsi="宋体" w:cs="宋体"/>
          <w:bCs/>
          <w:color w:val="auto"/>
          <w:sz w:val="32"/>
          <w:szCs w:val="32"/>
          <w:lang w:eastAsia="zh-CN"/>
        </w:rPr>
        <w:t>许昌市建安区</w:t>
      </w:r>
      <w:r>
        <w:rPr>
          <w:rFonts w:hint="eastAsia" w:ascii="宋体" w:hAnsi="宋体" w:cs="宋体"/>
          <w:bCs/>
          <w:color w:val="auto"/>
          <w:sz w:val="32"/>
          <w:szCs w:val="32"/>
          <w:lang w:val="en-US" w:eastAsia="zh-CN"/>
        </w:rPr>
        <w:t>水利局</w:t>
      </w:r>
    </w:p>
    <w:p w14:paraId="0D08F410">
      <w:pPr>
        <w:spacing w:line="600" w:lineRule="exact"/>
        <w:ind w:firstLine="960" w:firstLineChars="300"/>
        <w:rPr>
          <w:rFonts w:hint="eastAsia" w:ascii="宋体" w:hAnsi="宋体" w:eastAsia="宋体" w:cs="宋体"/>
          <w:bCs/>
          <w:color w:val="auto"/>
          <w:sz w:val="32"/>
          <w:szCs w:val="32"/>
          <w:lang w:eastAsia="zh-CN"/>
        </w:rPr>
      </w:pPr>
      <w:r>
        <w:rPr>
          <w:rFonts w:hint="eastAsia" w:ascii="宋体" w:hAnsi="宋体" w:cs="宋体"/>
          <w:bCs/>
          <w:color w:val="auto"/>
          <w:sz w:val="32"/>
          <w:szCs w:val="32"/>
        </w:rPr>
        <w:t>代理机构：</w:t>
      </w:r>
      <w:r>
        <w:rPr>
          <w:rFonts w:hint="eastAsia" w:ascii="宋体" w:hAnsi="宋体" w:cs="宋体"/>
          <w:bCs/>
          <w:color w:val="auto"/>
          <w:sz w:val="32"/>
          <w:szCs w:val="32"/>
          <w:lang w:eastAsia="zh-CN"/>
        </w:rPr>
        <w:t xml:space="preserve">河南招标采购服务有限公司 </w:t>
      </w:r>
    </w:p>
    <w:p w14:paraId="62DAA973">
      <w:pPr>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十一</w:t>
      </w:r>
      <w:r>
        <w:rPr>
          <w:rFonts w:hint="eastAsia" w:ascii="宋体" w:hAnsi="宋体" w:cs="宋体"/>
          <w:bCs/>
          <w:color w:val="auto"/>
          <w:sz w:val="32"/>
          <w:szCs w:val="32"/>
        </w:rPr>
        <w:t>月</w:t>
      </w:r>
    </w:p>
    <w:p w14:paraId="1EB6B222">
      <w:pPr>
        <w:autoSpaceDE w:val="0"/>
        <w:autoSpaceDN w:val="0"/>
        <w:adjustRightInd w:val="0"/>
        <w:spacing w:line="700" w:lineRule="exact"/>
        <w:ind w:firstLine="551"/>
        <w:jc w:val="center"/>
        <w:rPr>
          <w:rFonts w:ascii="宋体" w:hAnsi="宋体" w:cs="宋体"/>
          <w:b/>
          <w:bCs/>
          <w:color w:val="auto"/>
          <w:sz w:val="40"/>
          <w:szCs w:val="40"/>
          <w:lang w:val="zh-CN"/>
        </w:rPr>
      </w:pPr>
      <w:r>
        <w:rPr>
          <w:rFonts w:hint="eastAsia" w:ascii="宋体" w:hAnsi="宋体" w:cs="宋体"/>
          <w:b/>
          <w:bCs/>
          <w:color w:val="auto"/>
          <w:sz w:val="40"/>
          <w:szCs w:val="40"/>
          <w:lang w:val="zh-CN"/>
        </w:rPr>
        <w:t>招标文件目录</w:t>
      </w:r>
    </w:p>
    <w:p w14:paraId="3AFAAAE3">
      <w:pPr>
        <w:autoSpaceDE w:val="0"/>
        <w:autoSpaceDN w:val="0"/>
        <w:adjustRightInd w:val="0"/>
        <w:spacing w:line="700" w:lineRule="exact"/>
        <w:ind w:firstLine="551"/>
        <w:rPr>
          <w:rFonts w:ascii="宋体" w:hAnsi="宋体" w:cs="宋体"/>
          <w:b/>
          <w:bCs/>
          <w:color w:val="auto"/>
          <w:sz w:val="28"/>
          <w:szCs w:val="28"/>
          <w:lang w:val="zh-CN"/>
        </w:rPr>
      </w:pPr>
    </w:p>
    <w:p w14:paraId="42AC9F14">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第一章 投标邀请</w:t>
      </w:r>
    </w:p>
    <w:p w14:paraId="0095B159">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第二章 项目需求</w:t>
      </w:r>
    </w:p>
    <w:p w14:paraId="5714218D">
      <w:pPr>
        <w:autoSpaceDE w:val="0"/>
        <w:autoSpaceDN w:val="0"/>
        <w:adjustRightInd w:val="0"/>
        <w:spacing w:line="700" w:lineRule="exact"/>
        <w:ind w:firstLine="560"/>
        <w:rPr>
          <w:rFonts w:ascii="宋体" w:hAnsi="宋体" w:cs="宋体"/>
          <w:b/>
          <w:color w:val="auto"/>
          <w:kern w:val="0"/>
          <w:sz w:val="28"/>
          <w:szCs w:val="28"/>
        </w:rPr>
      </w:pPr>
      <w:r>
        <w:rPr>
          <w:rFonts w:hint="eastAsia" w:ascii="宋体" w:hAnsi="宋体" w:cs="宋体"/>
          <w:b/>
          <w:bCs/>
          <w:color w:val="auto"/>
          <w:sz w:val="28"/>
          <w:szCs w:val="28"/>
          <w:lang w:val="zh-CN"/>
        </w:rPr>
        <w:t xml:space="preserve">第三章 </w:t>
      </w:r>
      <w:r>
        <w:rPr>
          <w:rFonts w:hint="eastAsia" w:ascii="宋体" w:hAnsi="宋体" w:cs="宋体"/>
          <w:b/>
          <w:bCs/>
          <w:color w:val="auto"/>
          <w:sz w:val="28"/>
          <w:szCs w:val="28"/>
          <w:lang w:val="zh-CN" w:eastAsia="zh-CN"/>
        </w:rPr>
        <w:t>投标人</w:t>
      </w:r>
      <w:r>
        <w:rPr>
          <w:rFonts w:hint="eastAsia" w:ascii="宋体" w:hAnsi="宋体" w:cs="宋体"/>
          <w:b/>
          <w:color w:val="auto"/>
          <w:kern w:val="0"/>
          <w:sz w:val="28"/>
          <w:szCs w:val="28"/>
        </w:rPr>
        <w:t>须知前附表</w:t>
      </w:r>
    </w:p>
    <w:p w14:paraId="0E60565D">
      <w:pPr>
        <w:autoSpaceDE w:val="0"/>
        <w:autoSpaceDN w:val="0"/>
        <w:adjustRightInd w:val="0"/>
        <w:spacing w:line="700" w:lineRule="exact"/>
        <w:ind w:firstLine="560"/>
        <w:rPr>
          <w:rFonts w:ascii="宋体" w:hAnsi="宋体" w:cs="宋体"/>
          <w:b/>
          <w:color w:val="auto"/>
          <w:kern w:val="0"/>
          <w:sz w:val="28"/>
          <w:szCs w:val="28"/>
        </w:rPr>
      </w:pPr>
      <w:r>
        <w:rPr>
          <w:rFonts w:hint="eastAsia" w:ascii="宋体" w:hAnsi="宋体" w:cs="宋体"/>
          <w:b/>
          <w:bCs/>
          <w:color w:val="auto"/>
          <w:sz w:val="28"/>
          <w:szCs w:val="28"/>
          <w:lang w:val="zh-CN"/>
        </w:rPr>
        <w:t xml:space="preserve">第四章 </w:t>
      </w:r>
      <w:r>
        <w:rPr>
          <w:rFonts w:hint="eastAsia" w:ascii="宋体" w:hAnsi="宋体" w:cs="宋体"/>
          <w:b/>
          <w:bCs/>
          <w:color w:val="auto"/>
          <w:sz w:val="28"/>
          <w:szCs w:val="28"/>
          <w:lang w:val="zh-CN" w:eastAsia="zh-CN"/>
        </w:rPr>
        <w:t>投标人</w:t>
      </w:r>
      <w:r>
        <w:rPr>
          <w:rFonts w:hint="eastAsia" w:ascii="宋体" w:hAnsi="宋体" w:cs="宋体"/>
          <w:b/>
          <w:color w:val="auto"/>
          <w:kern w:val="0"/>
          <w:sz w:val="28"/>
          <w:szCs w:val="28"/>
        </w:rPr>
        <w:t>须知</w:t>
      </w:r>
    </w:p>
    <w:p w14:paraId="38476DDE">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一、概念释义</w:t>
      </w:r>
    </w:p>
    <w:p w14:paraId="1FE41CFF">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二、招标文件说明</w:t>
      </w:r>
    </w:p>
    <w:p w14:paraId="64C0C4D9">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三、投标文件的编制</w:t>
      </w:r>
    </w:p>
    <w:p w14:paraId="53E0B771">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四、投标文件的递交</w:t>
      </w:r>
    </w:p>
    <w:p w14:paraId="1E218C7D">
      <w:pPr>
        <w:autoSpaceDE w:val="0"/>
        <w:autoSpaceDN w:val="0"/>
        <w:adjustRightInd w:val="0"/>
        <w:spacing w:line="700" w:lineRule="exact"/>
        <w:ind w:firstLine="840" w:firstLineChars="300"/>
        <w:jc w:val="left"/>
        <w:rPr>
          <w:rFonts w:ascii="宋体" w:hAnsi="宋体" w:cs="宋体"/>
          <w:color w:val="auto"/>
          <w:sz w:val="28"/>
          <w:szCs w:val="28"/>
          <w:lang w:val="zh-CN"/>
        </w:rPr>
      </w:pPr>
      <w:r>
        <w:rPr>
          <w:rFonts w:hint="eastAsia" w:ascii="宋体" w:hAnsi="宋体" w:cs="宋体"/>
          <w:color w:val="auto"/>
          <w:sz w:val="28"/>
          <w:szCs w:val="28"/>
          <w:lang w:val="zh-CN"/>
        </w:rPr>
        <w:t>五、开标和评标</w:t>
      </w:r>
    </w:p>
    <w:p w14:paraId="4A0B281F">
      <w:pPr>
        <w:autoSpaceDE w:val="0"/>
        <w:autoSpaceDN w:val="0"/>
        <w:adjustRightInd w:val="0"/>
        <w:spacing w:line="700" w:lineRule="exact"/>
        <w:ind w:firstLine="840" w:firstLineChars="300"/>
        <w:jc w:val="left"/>
        <w:rPr>
          <w:rFonts w:ascii="宋体" w:hAnsi="宋体" w:cs="宋体"/>
          <w:b/>
          <w:bCs/>
          <w:color w:val="auto"/>
          <w:sz w:val="28"/>
          <w:szCs w:val="28"/>
          <w:lang w:val="zh-CN"/>
        </w:rPr>
      </w:pPr>
      <w:r>
        <w:rPr>
          <w:rFonts w:hint="eastAsia" w:ascii="宋体" w:hAnsi="宋体" w:cs="宋体"/>
          <w:color w:val="auto"/>
          <w:sz w:val="28"/>
          <w:szCs w:val="28"/>
          <w:lang w:val="zh-CN"/>
        </w:rPr>
        <w:t>六、定标和授予合同</w:t>
      </w:r>
    </w:p>
    <w:p w14:paraId="46A31989">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 xml:space="preserve">第五章 </w:t>
      </w:r>
      <w:r>
        <w:rPr>
          <w:rFonts w:hint="eastAsia" w:ascii="宋体" w:hAnsi="宋体" w:cs="宋体"/>
          <w:b/>
          <w:color w:val="auto"/>
          <w:kern w:val="0"/>
          <w:sz w:val="28"/>
          <w:szCs w:val="28"/>
        </w:rPr>
        <w:t>政府采购政策功能</w:t>
      </w:r>
    </w:p>
    <w:p w14:paraId="1A4347BB">
      <w:pPr>
        <w:autoSpaceDE w:val="0"/>
        <w:autoSpaceDN w:val="0"/>
        <w:adjustRightInd w:val="0"/>
        <w:spacing w:line="700" w:lineRule="exact"/>
        <w:ind w:firstLine="551"/>
        <w:rPr>
          <w:rFonts w:ascii="宋体" w:hAnsi="宋体" w:cs="宋体"/>
          <w:b/>
          <w:bCs/>
          <w:color w:val="auto"/>
          <w:sz w:val="28"/>
          <w:szCs w:val="28"/>
          <w:lang w:val="zh-CN"/>
        </w:rPr>
      </w:pPr>
      <w:r>
        <w:rPr>
          <w:rFonts w:hint="eastAsia" w:ascii="宋体" w:hAnsi="宋体" w:cs="宋体"/>
          <w:b/>
          <w:bCs/>
          <w:color w:val="auto"/>
          <w:sz w:val="28"/>
          <w:szCs w:val="28"/>
          <w:lang w:val="zh-CN"/>
        </w:rPr>
        <w:t xml:space="preserve">第六章 </w:t>
      </w:r>
      <w:r>
        <w:rPr>
          <w:rFonts w:hint="eastAsia" w:ascii="宋体" w:hAnsi="宋体" w:cs="宋体"/>
          <w:b/>
          <w:color w:val="auto"/>
          <w:kern w:val="0"/>
          <w:sz w:val="28"/>
          <w:szCs w:val="28"/>
        </w:rPr>
        <w:t>资格审查与评标</w:t>
      </w:r>
    </w:p>
    <w:p w14:paraId="0386856B">
      <w:pPr>
        <w:autoSpaceDE w:val="0"/>
        <w:autoSpaceDN w:val="0"/>
        <w:adjustRightInd w:val="0"/>
        <w:spacing w:line="700" w:lineRule="exact"/>
        <w:ind w:firstLine="550"/>
        <w:rPr>
          <w:rFonts w:ascii="宋体" w:hAnsi="宋体" w:cs="宋体"/>
          <w:b/>
          <w:bCs/>
          <w:color w:val="auto"/>
          <w:sz w:val="28"/>
          <w:szCs w:val="28"/>
          <w:lang w:val="zh-CN"/>
        </w:rPr>
      </w:pPr>
      <w:r>
        <w:rPr>
          <w:rFonts w:hint="eastAsia" w:ascii="宋体" w:hAnsi="宋体" w:cs="宋体"/>
          <w:b/>
          <w:bCs/>
          <w:color w:val="auto"/>
          <w:sz w:val="28"/>
          <w:szCs w:val="28"/>
          <w:lang w:val="zh-CN"/>
        </w:rPr>
        <w:t xml:space="preserve">第七章 </w:t>
      </w:r>
      <w:r>
        <w:rPr>
          <w:rFonts w:hint="eastAsia" w:ascii="宋体" w:hAnsi="宋体" w:cs="宋体"/>
          <w:b/>
          <w:color w:val="auto"/>
          <w:kern w:val="0"/>
          <w:sz w:val="28"/>
          <w:szCs w:val="28"/>
        </w:rPr>
        <w:t>合同条款及格式</w:t>
      </w:r>
    </w:p>
    <w:p w14:paraId="3A2E25EC">
      <w:pPr>
        <w:autoSpaceDE w:val="0"/>
        <w:autoSpaceDN w:val="0"/>
        <w:adjustRightInd w:val="0"/>
        <w:spacing w:line="700" w:lineRule="exact"/>
        <w:ind w:firstLine="551"/>
        <w:rPr>
          <w:rFonts w:ascii="宋体" w:hAnsi="宋体" w:cs="宋体"/>
          <w:b/>
          <w:color w:val="auto"/>
          <w:kern w:val="0"/>
          <w:sz w:val="28"/>
          <w:szCs w:val="28"/>
        </w:rPr>
      </w:pPr>
      <w:r>
        <w:rPr>
          <w:rFonts w:hint="eastAsia" w:ascii="宋体" w:hAnsi="宋体" w:cs="宋体"/>
          <w:b/>
          <w:bCs/>
          <w:color w:val="auto"/>
          <w:sz w:val="28"/>
          <w:szCs w:val="28"/>
          <w:lang w:val="zh-CN"/>
        </w:rPr>
        <w:t xml:space="preserve">第八章 </w:t>
      </w:r>
      <w:r>
        <w:rPr>
          <w:rFonts w:hint="eastAsia" w:ascii="宋体" w:hAnsi="宋体" w:cs="宋体"/>
          <w:b/>
          <w:color w:val="auto"/>
          <w:kern w:val="0"/>
          <w:sz w:val="28"/>
          <w:szCs w:val="28"/>
        </w:rPr>
        <w:t>投标文件有关格式</w:t>
      </w:r>
    </w:p>
    <w:p w14:paraId="6CFA7DA5">
      <w:pPr>
        <w:pStyle w:val="3"/>
        <w:rPr>
          <w:rFonts w:hint="default"/>
          <w:color w:val="auto"/>
        </w:rPr>
      </w:pPr>
    </w:p>
    <w:p w14:paraId="4F875269">
      <w:pPr>
        <w:pStyle w:val="53"/>
        <w:rPr>
          <w:color w:val="auto"/>
        </w:rPr>
      </w:pPr>
    </w:p>
    <w:p w14:paraId="56700FA2">
      <w:pPr>
        <w:rPr>
          <w:color w:val="auto"/>
        </w:rPr>
      </w:pPr>
    </w:p>
    <w:p w14:paraId="1645A6A8">
      <w:pPr>
        <w:pStyle w:val="3"/>
        <w:rPr>
          <w:rFonts w:hint="default"/>
          <w:color w:val="auto"/>
        </w:rPr>
      </w:pPr>
    </w:p>
    <w:p w14:paraId="733A4900">
      <w:pPr>
        <w:adjustRightInd w:val="0"/>
        <w:snapToGrid w:val="0"/>
        <w:spacing w:line="360" w:lineRule="auto"/>
        <w:rPr>
          <w:rFonts w:ascii="宋体" w:hAnsi="宋体" w:cs="宋体"/>
          <w:b/>
          <w:color w:val="auto"/>
          <w:sz w:val="36"/>
          <w:szCs w:val="36"/>
        </w:rPr>
      </w:pPr>
    </w:p>
    <w:p w14:paraId="7B056E91">
      <w:pPr>
        <w:pStyle w:val="3"/>
        <w:rPr>
          <w:rFonts w:hint="default"/>
          <w:color w:val="auto"/>
        </w:rPr>
      </w:pPr>
    </w:p>
    <w:p w14:paraId="2329D851">
      <w:pPr>
        <w:adjustRightInd w:val="0"/>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第一章 投标邀请</w:t>
      </w:r>
    </w:p>
    <w:p w14:paraId="0CCEBB4C">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b/>
          <w:bCs/>
          <w:color w:val="auto"/>
          <w:sz w:val="32"/>
          <w:szCs w:val="36"/>
          <w:lang w:eastAsia="zh-CN"/>
        </w:rPr>
      </w:pPr>
      <w:r>
        <w:rPr>
          <w:rFonts w:hint="eastAsia" w:ascii="宋体" w:hAnsi="宋体" w:cs="宋体"/>
          <w:b/>
          <w:bCs/>
          <w:color w:val="auto"/>
          <w:sz w:val="32"/>
          <w:szCs w:val="36"/>
          <w:lang w:eastAsia="zh-CN"/>
        </w:rPr>
        <w:t>建安政采公字〔2024〕</w:t>
      </w:r>
      <w:r>
        <w:rPr>
          <w:rFonts w:hint="eastAsia" w:ascii="宋体" w:hAnsi="宋体" w:cs="宋体"/>
          <w:b/>
          <w:bCs/>
          <w:color w:val="auto"/>
          <w:sz w:val="32"/>
          <w:szCs w:val="36"/>
          <w:lang w:val="en-US" w:eastAsia="zh-CN"/>
        </w:rPr>
        <w:t>30</w:t>
      </w:r>
      <w:r>
        <w:rPr>
          <w:rFonts w:hint="eastAsia" w:ascii="宋体" w:hAnsi="宋体" w:cs="宋体"/>
          <w:b/>
          <w:bCs/>
          <w:color w:val="auto"/>
          <w:sz w:val="32"/>
          <w:szCs w:val="36"/>
          <w:lang w:eastAsia="zh-CN"/>
        </w:rPr>
        <w:t>号</w:t>
      </w:r>
    </w:p>
    <w:p w14:paraId="45A4386A">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b/>
          <w:bCs/>
          <w:color w:val="auto"/>
          <w:sz w:val="32"/>
          <w:szCs w:val="36"/>
          <w:lang w:eastAsia="zh-CN"/>
        </w:rPr>
      </w:pPr>
      <w:r>
        <w:rPr>
          <w:rFonts w:hint="eastAsia" w:ascii="宋体" w:hAnsi="宋体" w:cs="宋体"/>
          <w:b/>
          <w:bCs/>
          <w:color w:val="auto"/>
          <w:sz w:val="32"/>
          <w:szCs w:val="36"/>
          <w:lang w:eastAsia="zh-CN"/>
        </w:rPr>
        <w:t>许昌市建安区水利局</w:t>
      </w:r>
    </w:p>
    <w:p w14:paraId="385BDF13">
      <w:pPr>
        <w:pStyle w:val="2"/>
        <w:keepNext w:val="0"/>
        <w:keepLines w:val="0"/>
        <w:pageBreakBefore w:val="0"/>
        <w:widowControl w:val="0"/>
        <w:kinsoku/>
        <w:wordWrap/>
        <w:overflowPunct/>
        <w:topLinePunct w:val="0"/>
        <w:autoSpaceDE/>
        <w:autoSpaceDN/>
        <w:bidi w:val="0"/>
        <w:spacing w:after="0" w:line="520" w:lineRule="exact"/>
        <w:ind w:firstLine="321"/>
        <w:jc w:val="center"/>
        <w:textAlignment w:val="auto"/>
        <w:rPr>
          <w:rFonts w:hint="default" w:ascii="宋体" w:eastAsia="宋体"/>
          <w:b/>
          <w:bCs/>
          <w:color w:val="auto"/>
          <w:sz w:val="32"/>
          <w:szCs w:val="36"/>
          <w:lang w:val="en-US" w:eastAsia="zh-CN"/>
        </w:rPr>
      </w:pPr>
      <w:r>
        <w:rPr>
          <w:rFonts w:hint="eastAsia" w:ascii="宋体"/>
          <w:b/>
          <w:bCs/>
          <w:color w:val="auto"/>
          <w:sz w:val="32"/>
          <w:szCs w:val="36"/>
          <w:lang w:val="en-US" w:eastAsia="zh-CN"/>
        </w:rPr>
        <w:t>许昌市建安区农村配水管网工程</w:t>
      </w:r>
    </w:p>
    <w:p w14:paraId="7C615333">
      <w:pPr>
        <w:pStyle w:val="2"/>
        <w:keepNext w:val="0"/>
        <w:keepLines w:val="0"/>
        <w:pageBreakBefore w:val="0"/>
        <w:widowControl w:val="0"/>
        <w:kinsoku/>
        <w:wordWrap/>
        <w:overflowPunct/>
        <w:topLinePunct w:val="0"/>
        <w:autoSpaceDE/>
        <w:autoSpaceDN/>
        <w:bidi w:val="0"/>
        <w:spacing w:after="0" w:line="520" w:lineRule="exact"/>
        <w:ind w:firstLine="321"/>
        <w:jc w:val="center"/>
        <w:textAlignment w:val="auto"/>
        <w:rPr>
          <w:rFonts w:hint="default" w:ascii="宋体"/>
          <w:b/>
          <w:bCs/>
          <w:color w:val="auto"/>
          <w:sz w:val="32"/>
          <w:szCs w:val="36"/>
        </w:rPr>
      </w:pPr>
      <w:r>
        <w:rPr>
          <w:rFonts w:ascii="宋体"/>
          <w:b/>
          <w:bCs/>
          <w:color w:val="auto"/>
          <w:sz w:val="32"/>
          <w:szCs w:val="36"/>
        </w:rPr>
        <w:t>公开招标公告</w:t>
      </w:r>
    </w:p>
    <w:p w14:paraId="47A0EBAA">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8"/>
          <w:rFonts w:ascii="宋体" w:hAnsi="宋体"/>
          <w:color w:val="auto"/>
          <w:sz w:val="24"/>
          <w:szCs w:val="24"/>
        </w:rPr>
      </w:pPr>
      <w:bookmarkStart w:id="0" w:name="_Toc28359002"/>
      <w:bookmarkStart w:id="1" w:name="_Toc35393790"/>
      <w:bookmarkStart w:id="2" w:name="_Toc28359079"/>
      <w:bookmarkStart w:id="3" w:name="_Toc35393621"/>
      <w:bookmarkStart w:id="4" w:name="_Hlk24379207"/>
      <w:r>
        <w:rPr>
          <w:rStyle w:val="138"/>
          <w:rFonts w:hint="eastAsia" w:ascii="宋体" w:hAnsi="宋体"/>
          <w:color w:val="auto"/>
          <w:sz w:val="24"/>
          <w:szCs w:val="24"/>
        </w:rPr>
        <w:t>项目概况</w:t>
      </w:r>
    </w:p>
    <w:p w14:paraId="15F49578">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38"/>
          <w:rFonts w:ascii="宋体" w:hAnsi="宋体"/>
          <w:color w:val="auto"/>
          <w:sz w:val="24"/>
          <w:szCs w:val="24"/>
          <w:highlight w:val="none"/>
        </w:rPr>
      </w:pPr>
      <w:r>
        <w:rPr>
          <w:rStyle w:val="138"/>
          <w:rFonts w:hint="eastAsia" w:ascii="宋体" w:hAnsi="宋体"/>
          <w:color w:val="auto"/>
          <w:sz w:val="24"/>
          <w:szCs w:val="24"/>
          <w:lang w:eastAsia="zh-CN"/>
        </w:rPr>
        <w:t>许昌市建安区农村配水管网工程</w:t>
      </w:r>
      <w:r>
        <w:rPr>
          <w:rStyle w:val="138"/>
          <w:rFonts w:hint="eastAsia" w:ascii="宋体" w:hAnsi="宋体"/>
          <w:color w:val="auto"/>
          <w:sz w:val="24"/>
          <w:szCs w:val="24"/>
        </w:rPr>
        <w:t>的潜在</w:t>
      </w:r>
      <w:r>
        <w:rPr>
          <w:rStyle w:val="138"/>
          <w:rFonts w:hint="eastAsia" w:ascii="宋体" w:hAnsi="宋体"/>
          <w:color w:val="auto"/>
          <w:sz w:val="24"/>
          <w:szCs w:val="24"/>
          <w:lang w:val="en-US" w:eastAsia="zh-CN"/>
        </w:rPr>
        <w:t>投标人</w:t>
      </w:r>
      <w:r>
        <w:rPr>
          <w:rStyle w:val="138"/>
          <w:rFonts w:hint="eastAsia" w:ascii="宋体" w:hAnsi="宋体"/>
          <w:color w:val="auto"/>
          <w:sz w:val="24"/>
          <w:szCs w:val="24"/>
        </w:rPr>
        <w:t>应在《全国公共资源交易平台（河南省·许昌市）》（http://117.159.53.11:60632/）获</w:t>
      </w:r>
      <w:r>
        <w:rPr>
          <w:rStyle w:val="138"/>
          <w:rFonts w:hint="eastAsia" w:ascii="宋体" w:hAnsi="宋体"/>
          <w:color w:val="auto"/>
          <w:sz w:val="24"/>
          <w:szCs w:val="24"/>
          <w:highlight w:val="none"/>
        </w:rPr>
        <w:t>取招标文件，并于</w:t>
      </w:r>
      <w:r>
        <w:rPr>
          <w:rStyle w:val="138"/>
          <w:rFonts w:hint="eastAsia" w:ascii="宋体" w:hAnsi="宋体"/>
          <w:color w:val="auto"/>
          <w:sz w:val="24"/>
          <w:szCs w:val="24"/>
          <w:highlight w:val="none"/>
          <w:lang w:eastAsia="zh-CN"/>
        </w:rPr>
        <w:t>2024年</w:t>
      </w:r>
      <w:r>
        <w:rPr>
          <w:rStyle w:val="138"/>
          <w:rFonts w:hint="eastAsia" w:ascii="宋体" w:hAnsi="宋体"/>
          <w:color w:val="auto"/>
          <w:sz w:val="24"/>
          <w:szCs w:val="24"/>
          <w:highlight w:val="none"/>
          <w:lang w:val="en-US" w:eastAsia="zh-CN"/>
        </w:rPr>
        <w:t>11</w:t>
      </w:r>
      <w:r>
        <w:rPr>
          <w:rStyle w:val="138"/>
          <w:rFonts w:hint="eastAsia" w:ascii="宋体" w:hAnsi="宋体"/>
          <w:color w:val="auto"/>
          <w:sz w:val="24"/>
          <w:szCs w:val="24"/>
          <w:highlight w:val="none"/>
          <w:lang w:eastAsia="zh-CN"/>
        </w:rPr>
        <w:t>月</w:t>
      </w:r>
      <w:r>
        <w:rPr>
          <w:rStyle w:val="138"/>
          <w:rFonts w:hint="eastAsia" w:ascii="宋体" w:hAnsi="宋体"/>
          <w:color w:val="auto"/>
          <w:sz w:val="24"/>
          <w:szCs w:val="24"/>
          <w:highlight w:val="none"/>
          <w:lang w:val="en-US" w:eastAsia="zh-CN"/>
        </w:rPr>
        <w:t>28</w:t>
      </w:r>
      <w:r>
        <w:rPr>
          <w:rStyle w:val="138"/>
          <w:rFonts w:hint="eastAsia" w:ascii="宋体" w:hAnsi="宋体"/>
          <w:color w:val="auto"/>
          <w:sz w:val="24"/>
          <w:szCs w:val="24"/>
          <w:highlight w:val="none"/>
          <w:lang w:eastAsia="zh-CN"/>
        </w:rPr>
        <w:t>日</w:t>
      </w:r>
      <w:r>
        <w:rPr>
          <w:rStyle w:val="138"/>
          <w:rFonts w:hint="eastAsia" w:ascii="宋体" w:hAnsi="宋体"/>
          <w:color w:val="auto"/>
          <w:sz w:val="24"/>
          <w:szCs w:val="24"/>
          <w:highlight w:val="none"/>
        </w:rPr>
        <w:t>09点</w:t>
      </w:r>
      <w:r>
        <w:rPr>
          <w:rStyle w:val="138"/>
          <w:rFonts w:hint="eastAsia" w:ascii="宋体" w:hAnsi="宋体"/>
          <w:color w:val="auto"/>
          <w:sz w:val="24"/>
          <w:szCs w:val="24"/>
          <w:highlight w:val="none"/>
          <w:lang w:val="en-US" w:eastAsia="zh-CN"/>
        </w:rPr>
        <w:t>3</w:t>
      </w:r>
      <w:r>
        <w:rPr>
          <w:rStyle w:val="138"/>
          <w:rFonts w:hint="eastAsia" w:ascii="宋体" w:hAnsi="宋体"/>
          <w:color w:val="auto"/>
          <w:sz w:val="24"/>
          <w:szCs w:val="24"/>
          <w:highlight w:val="none"/>
        </w:rPr>
        <w:t>0分（北京时间）前提交（上传）投标文件。</w:t>
      </w:r>
    </w:p>
    <w:bookmarkEnd w:id="0"/>
    <w:bookmarkEnd w:id="1"/>
    <w:bookmarkEnd w:id="2"/>
    <w:bookmarkEnd w:id="3"/>
    <w:p w14:paraId="081037A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b/>
          <w:color w:val="auto"/>
          <w:sz w:val="24"/>
          <w:szCs w:val="28"/>
        </w:rPr>
      </w:pPr>
      <w:r>
        <w:rPr>
          <w:rFonts w:hint="eastAsia" w:ascii="宋体" w:hAnsi="宋体"/>
          <w:b/>
          <w:color w:val="auto"/>
          <w:sz w:val="24"/>
          <w:szCs w:val="28"/>
        </w:rPr>
        <w:t>一、项目基本情况</w:t>
      </w:r>
    </w:p>
    <w:p w14:paraId="513DB3F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1、项目编号：</w:t>
      </w:r>
      <w:r>
        <w:rPr>
          <w:rStyle w:val="138"/>
          <w:rFonts w:hint="eastAsia" w:ascii="宋体" w:hAnsi="宋体" w:eastAsiaTheme="minorEastAsia"/>
          <w:b w:val="0"/>
          <w:bCs w:val="0"/>
          <w:color w:val="auto"/>
          <w:sz w:val="24"/>
          <w:szCs w:val="24"/>
          <w:lang w:eastAsia="zh-CN"/>
        </w:rPr>
        <w:t>建安政采公字〔2024〕</w:t>
      </w:r>
      <w:r>
        <w:rPr>
          <w:rStyle w:val="138"/>
          <w:rFonts w:hint="eastAsia" w:ascii="宋体" w:hAnsi="宋体" w:eastAsiaTheme="minorEastAsia"/>
          <w:b w:val="0"/>
          <w:bCs w:val="0"/>
          <w:color w:val="auto"/>
          <w:sz w:val="24"/>
          <w:szCs w:val="24"/>
          <w:lang w:val="en-US" w:eastAsia="zh-CN"/>
        </w:rPr>
        <w:t>30</w:t>
      </w:r>
      <w:r>
        <w:rPr>
          <w:rStyle w:val="138"/>
          <w:rFonts w:hint="eastAsia" w:ascii="宋体" w:hAnsi="宋体" w:eastAsiaTheme="minorEastAsia"/>
          <w:b w:val="0"/>
          <w:bCs w:val="0"/>
          <w:color w:val="auto"/>
          <w:sz w:val="24"/>
          <w:szCs w:val="24"/>
          <w:lang w:eastAsia="zh-CN"/>
        </w:rPr>
        <w:t>号</w:t>
      </w:r>
    </w:p>
    <w:p w14:paraId="6B43C7A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Style w:val="138"/>
          <w:rFonts w:hint="eastAsia" w:ascii="宋体" w:hAnsi="宋体" w:eastAsiaTheme="minorEastAsia"/>
          <w:color w:val="auto"/>
          <w:sz w:val="24"/>
          <w:szCs w:val="24"/>
          <w:lang w:eastAsia="zh-CN"/>
        </w:rPr>
      </w:pPr>
      <w:r>
        <w:rPr>
          <w:rFonts w:hint="eastAsia" w:asciiTheme="minorEastAsia" w:hAnsiTheme="minorEastAsia" w:eastAsiaTheme="minorEastAsia"/>
          <w:color w:val="auto"/>
          <w:sz w:val="24"/>
          <w:szCs w:val="24"/>
        </w:rPr>
        <w:t>2、项目名称：</w:t>
      </w:r>
      <w:bookmarkEnd w:id="4"/>
      <w:r>
        <w:rPr>
          <w:rStyle w:val="138"/>
          <w:rFonts w:hint="eastAsia" w:ascii="宋体" w:hAnsi="宋体" w:eastAsiaTheme="minorEastAsia"/>
          <w:color w:val="auto"/>
          <w:sz w:val="24"/>
          <w:szCs w:val="24"/>
          <w:lang w:eastAsia="zh-CN"/>
        </w:rPr>
        <w:t>许昌市建安区农村配水管网工程</w:t>
      </w:r>
    </w:p>
    <w:p w14:paraId="7423C4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lang w:val="en-US" w:eastAsia="zh-CN"/>
        </w:rPr>
        <w:t>采购方式</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公开招标</w:t>
      </w:r>
    </w:p>
    <w:p w14:paraId="3CCF890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4、预算金额</w:t>
      </w:r>
      <w:r>
        <w:rPr>
          <w:rFonts w:hint="eastAsia" w:asciiTheme="minorEastAsia" w:hAnsiTheme="minorEastAsia" w:eastAsiaTheme="minorEastAsia"/>
          <w:color w:val="auto"/>
          <w:sz w:val="24"/>
          <w:szCs w:val="24"/>
          <w:lang w:eastAsia="zh-CN"/>
        </w:rPr>
        <w:t>：</w:t>
      </w:r>
    </w:p>
    <w:p w14:paraId="2A6835E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管线使用费第一阶梯单价（日均供水量小于等于2万m³）3.30元/m³；</w:t>
      </w:r>
    </w:p>
    <w:p w14:paraId="7C4251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管线使用费第二阶梯单价（日均供水量超过2万m³部分）0.9元/m³。</w:t>
      </w:r>
    </w:p>
    <w:p w14:paraId="1BEC6394">
      <w:pPr>
        <w:keepNext w:val="0"/>
        <w:keepLines w:val="0"/>
        <w:pageBreakBefore w:val="0"/>
        <w:widowControl w:val="0"/>
        <w:kinsoku/>
        <w:wordWrap/>
        <w:overflowPunct/>
        <w:topLinePunct w:val="0"/>
        <w:autoSpaceDE/>
        <w:autoSpaceDN/>
        <w:bidi w:val="0"/>
        <w:adjustRightInd w:val="0"/>
        <w:snapToGrid w:val="0"/>
        <w:spacing w:line="440" w:lineRule="exact"/>
        <w:ind w:firstLine="840" w:firstLineChars="350"/>
        <w:jc w:val="left"/>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最高限价：</w:t>
      </w:r>
    </w:p>
    <w:p w14:paraId="21CDC8E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管线使用费第一阶梯单价（日均供水量小于等于2万m³）3.30元/m³；</w:t>
      </w:r>
    </w:p>
    <w:p w14:paraId="79BE45A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color w:val="auto"/>
          <w:lang w:val="en-US" w:eastAsia="zh-CN"/>
        </w:rPr>
      </w:pPr>
      <w:r>
        <w:rPr>
          <w:rFonts w:hint="eastAsia" w:asciiTheme="minorEastAsia" w:hAnsiTheme="minorEastAsia" w:eastAsiaTheme="minorEastAsia"/>
          <w:color w:val="auto"/>
          <w:sz w:val="24"/>
          <w:szCs w:val="24"/>
          <w:lang w:val="en-US" w:eastAsia="zh-CN"/>
        </w:rPr>
        <w:t>管线使用费第二阶梯单价（日均供水量超过2万m³部分）0.9元/m³。</w:t>
      </w:r>
    </w:p>
    <w:tbl>
      <w:tblPr>
        <w:tblStyle w:val="40"/>
        <w:tblW w:w="102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0"/>
        <w:gridCol w:w="1933"/>
        <w:gridCol w:w="1160"/>
        <w:gridCol w:w="1574"/>
        <w:gridCol w:w="1572"/>
        <w:gridCol w:w="1440"/>
        <w:gridCol w:w="1954"/>
      </w:tblGrid>
      <w:tr w14:paraId="04E6D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40" w:type="dxa"/>
            <w:vAlign w:val="center"/>
          </w:tcPr>
          <w:p w14:paraId="0AF66BFE">
            <w:pPr>
              <w:keepNext w:val="0"/>
              <w:keepLines w:val="0"/>
              <w:pageBreakBefore w:val="0"/>
              <w:widowControl w:val="0"/>
              <w:kinsoku/>
              <w:wordWrap/>
              <w:overflowPunct/>
              <w:topLinePunct w:val="0"/>
              <w:autoSpaceDE/>
              <w:autoSpaceDN/>
              <w:bidi w:val="0"/>
              <w:adjustRightInd/>
              <w:snapToGrid/>
              <w:spacing w:line="440" w:lineRule="exact"/>
              <w:ind w:right="-512" w:rightChars="-244"/>
              <w:contextualSpacing/>
              <w:jc w:val="left"/>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序号</w:t>
            </w:r>
          </w:p>
        </w:tc>
        <w:tc>
          <w:tcPr>
            <w:tcW w:w="1933" w:type="dxa"/>
            <w:vAlign w:val="center"/>
          </w:tcPr>
          <w:p w14:paraId="45E4044D">
            <w:pPr>
              <w:keepNext w:val="0"/>
              <w:keepLines w:val="0"/>
              <w:pageBreakBefore w:val="0"/>
              <w:widowControl w:val="0"/>
              <w:kinsoku/>
              <w:wordWrap/>
              <w:overflowPunct/>
              <w:topLinePunct w:val="0"/>
              <w:autoSpaceDE/>
              <w:autoSpaceDN/>
              <w:bidi w:val="0"/>
              <w:adjustRightInd/>
              <w:snapToGrid/>
              <w:spacing w:line="440" w:lineRule="exact"/>
              <w:ind w:right="-512" w:rightChars="-244" w:firstLine="720" w:firstLineChars="300"/>
              <w:contextualSpacing/>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包号</w:t>
            </w:r>
          </w:p>
        </w:tc>
        <w:tc>
          <w:tcPr>
            <w:tcW w:w="1160" w:type="dxa"/>
            <w:vAlign w:val="center"/>
          </w:tcPr>
          <w:p w14:paraId="37689D6B">
            <w:pPr>
              <w:keepNext w:val="0"/>
              <w:keepLines w:val="0"/>
              <w:pageBreakBefore w:val="0"/>
              <w:widowControl w:val="0"/>
              <w:kinsoku/>
              <w:wordWrap/>
              <w:overflowPunct/>
              <w:topLinePunct w:val="0"/>
              <w:autoSpaceDE/>
              <w:autoSpaceDN/>
              <w:bidi w:val="0"/>
              <w:adjustRightInd/>
              <w:snapToGrid/>
              <w:spacing w:line="440" w:lineRule="exact"/>
              <w:ind w:right="-512" w:rightChars="-244"/>
              <w:contextualSpacing/>
              <w:jc w:val="left"/>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包的名称</w:t>
            </w:r>
          </w:p>
        </w:tc>
        <w:tc>
          <w:tcPr>
            <w:tcW w:w="1574" w:type="dxa"/>
            <w:vAlign w:val="center"/>
          </w:tcPr>
          <w:p w14:paraId="35D048B3">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包预算</w:t>
            </w:r>
          </w:p>
          <w:p w14:paraId="30D1B4B8">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cs="仿宋_GB2312" w:asciiTheme="minorEastAsia" w:hAnsiTheme="minorEastAsia" w:eastAsiaTheme="minorEastAsia"/>
                <w:b w:val="0"/>
                <w:bCs w:val="0"/>
                <w:color w:val="auto"/>
                <w:sz w:val="24"/>
              </w:rPr>
            </w:pPr>
            <w:r>
              <w:rPr>
                <w:rFonts w:hint="eastAsia" w:ascii="宋体" w:hAnsi="宋体"/>
                <w:b w:val="0"/>
                <w:bCs w:val="0"/>
                <w:color w:val="auto"/>
                <w:sz w:val="24"/>
              </w:rPr>
              <w:t>（元）</w:t>
            </w:r>
          </w:p>
        </w:tc>
        <w:tc>
          <w:tcPr>
            <w:tcW w:w="1572" w:type="dxa"/>
            <w:vAlign w:val="center"/>
          </w:tcPr>
          <w:p w14:paraId="2FA9217C">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包最高限价</w:t>
            </w:r>
          </w:p>
          <w:p w14:paraId="6CC7FCD1">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（元）</w:t>
            </w:r>
          </w:p>
        </w:tc>
        <w:tc>
          <w:tcPr>
            <w:tcW w:w="1440" w:type="dxa"/>
            <w:vAlign w:val="center"/>
          </w:tcPr>
          <w:p w14:paraId="4B1EFA57">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 xml:space="preserve">是否专门面 </w:t>
            </w:r>
          </w:p>
          <w:p w14:paraId="35E7FA9E">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向中小企业</w:t>
            </w:r>
          </w:p>
        </w:tc>
        <w:tc>
          <w:tcPr>
            <w:tcW w:w="1954" w:type="dxa"/>
            <w:vAlign w:val="center"/>
          </w:tcPr>
          <w:p w14:paraId="18CCC2D3">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采购预留金额</w:t>
            </w:r>
          </w:p>
          <w:p w14:paraId="4B657734">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（元）</w:t>
            </w:r>
          </w:p>
        </w:tc>
      </w:tr>
      <w:tr w14:paraId="4DD60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640" w:type="dxa"/>
            <w:vAlign w:val="center"/>
          </w:tcPr>
          <w:p w14:paraId="0E1B6BCC">
            <w:pPr>
              <w:keepNext w:val="0"/>
              <w:keepLines w:val="0"/>
              <w:pageBreakBefore w:val="0"/>
              <w:widowControl w:val="0"/>
              <w:kinsoku/>
              <w:wordWrap/>
              <w:overflowPunct/>
              <w:topLinePunct w:val="0"/>
              <w:autoSpaceDE/>
              <w:autoSpaceDN/>
              <w:bidi w:val="0"/>
              <w:adjustRightInd/>
              <w:snapToGrid/>
              <w:spacing w:line="440" w:lineRule="exact"/>
              <w:ind w:right="-512" w:rightChars="-244" w:firstLine="240" w:firstLineChars="100"/>
              <w:contextualSpacing/>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1</w:t>
            </w:r>
          </w:p>
        </w:tc>
        <w:tc>
          <w:tcPr>
            <w:tcW w:w="1933" w:type="dxa"/>
            <w:vAlign w:val="center"/>
          </w:tcPr>
          <w:p w14:paraId="3EBB1EF3">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建安政采公字</w:t>
            </w:r>
          </w:p>
          <w:p w14:paraId="0F35AE7A">
            <w:pPr>
              <w:keepNext w:val="0"/>
              <w:keepLines w:val="0"/>
              <w:pageBreakBefore w:val="0"/>
              <w:widowControl w:val="0"/>
              <w:kinsoku/>
              <w:wordWrap/>
              <w:overflowPunct/>
              <w:topLinePunct w:val="0"/>
              <w:autoSpaceDE/>
              <w:autoSpaceDN/>
              <w:bidi w:val="0"/>
              <w:adjustRightInd/>
              <w:snapToGrid/>
              <w:spacing w:line="440" w:lineRule="exact"/>
              <w:ind w:right="-512" w:rightChars="-244"/>
              <w:contextualSpacing/>
              <w:jc w:val="both"/>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〔202</w:t>
            </w:r>
            <w:r>
              <w:rPr>
                <w:rFonts w:hint="eastAsia" w:cs="仿宋_GB2312" w:asciiTheme="minorEastAsia" w:hAnsiTheme="minorEastAsia" w:eastAsiaTheme="minorEastAsia"/>
                <w:b w:val="0"/>
                <w:bCs w:val="0"/>
                <w:color w:val="auto"/>
                <w:sz w:val="24"/>
                <w:lang w:val="en-US" w:eastAsia="zh-CN"/>
              </w:rPr>
              <w:t>4</w:t>
            </w:r>
            <w:r>
              <w:rPr>
                <w:rFonts w:hint="eastAsia" w:cs="仿宋_GB2312" w:asciiTheme="minorEastAsia" w:hAnsiTheme="minorEastAsia" w:eastAsiaTheme="minorEastAsia"/>
                <w:b w:val="0"/>
                <w:bCs w:val="0"/>
                <w:color w:val="auto"/>
                <w:sz w:val="24"/>
              </w:rPr>
              <w:t>〕</w:t>
            </w:r>
            <w:r>
              <w:rPr>
                <w:rFonts w:hint="eastAsia" w:cs="仿宋_GB2312" w:asciiTheme="minorEastAsia" w:hAnsiTheme="minorEastAsia" w:eastAsiaTheme="minorEastAsia"/>
                <w:b w:val="0"/>
                <w:bCs w:val="0"/>
                <w:color w:val="auto"/>
                <w:sz w:val="24"/>
                <w:lang w:val="en-US" w:eastAsia="zh-CN"/>
              </w:rPr>
              <w:t>30</w:t>
            </w:r>
            <w:r>
              <w:rPr>
                <w:rFonts w:hint="eastAsia" w:cs="仿宋_GB2312" w:asciiTheme="minorEastAsia" w:hAnsiTheme="minorEastAsia" w:eastAsiaTheme="minorEastAsia"/>
                <w:b w:val="0"/>
                <w:bCs w:val="0"/>
                <w:color w:val="auto"/>
                <w:sz w:val="24"/>
              </w:rPr>
              <w:t>号-1</w:t>
            </w:r>
          </w:p>
        </w:tc>
        <w:tc>
          <w:tcPr>
            <w:tcW w:w="1160" w:type="dxa"/>
            <w:vAlign w:val="center"/>
          </w:tcPr>
          <w:p w14:paraId="0531CFDA">
            <w:pPr>
              <w:keepNext w:val="0"/>
              <w:keepLines w:val="0"/>
              <w:pageBreakBefore w:val="0"/>
              <w:widowControl w:val="0"/>
              <w:kinsoku/>
              <w:wordWrap/>
              <w:overflowPunct/>
              <w:topLinePunct w:val="0"/>
              <w:autoSpaceDE/>
              <w:autoSpaceDN/>
              <w:bidi w:val="0"/>
              <w:adjustRightInd/>
              <w:snapToGrid/>
              <w:spacing w:line="440" w:lineRule="exact"/>
              <w:ind w:right="-512" w:rightChars="-244"/>
              <w:contextualSpacing/>
              <w:jc w:val="left"/>
              <w:textAlignment w:val="auto"/>
              <w:rPr>
                <w:rFonts w:cs="仿宋_GB2312" w:asciiTheme="minorEastAsia" w:hAnsiTheme="minorEastAsia" w:eastAsiaTheme="minorEastAsia"/>
                <w:b w:val="0"/>
                <w:bCs w:val="0"/>
                <w:color w:val="auto"/>
                <w:sz w:val="24"/>
              </w:rPr>
            </w:pPr>
            <w:r>
              <w:rPr>
                <w:rFonts w:hint="eastAsia" w:cs="仿宋_GB2312" w:asciiTheme="minorEastAsia" w:hAnsiTheme="minorEastAsia" w:eastAsiaTheme="minorEastAsia"/>
                <w:b w:val="0"/>
                <w:bCs w:val="0"/>
                <w:color w:val="auto"/>
                <w:sz w:val="24"/>
              </w:rPr>
              <w:t>第一标段</w:t>
            </w:r>
          </w:p>
        </w:tc>
        <w:tc>
          <w:tcPr>
            <w:tcW w:w="1574" w:type="dxa"/>
            <w:vAlign w:val="center"/>
          </w:tcPr>
          <w:p w14:paraId="73551827">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default" w:cs="仿宋_GB2312" w:asciiTheme="minorEastAsia" w:hAnsiTheme="minorEastAsia" w:eastAsiaTheme="minorEastAsia"/>
                <w:b w:val="0"/>
                <w:bCs w:val="0"/>
                <w:color w:val="auto"/>
                <w:sz w:val="24"/>
                <w:lang w:val="en-US" w:eastAsia="zh-CN"/>
              </w:rPr>
            </w:pPr>
            <w:r>
              <w:rPr>
                <w:rFonts w:hint="eastAsia" w:asciiTheme="minorEastAsia" w:hAnsiTheme="minorEastAsia" w:eastAsiaTheme="minorEastAsia"/>
                <w:color w:val="auto"/>
                <w:sz w:val="24"/>
                <w:szCs w:val="24"/>
                <w:lang w:val="en-US" w:eastAsia="zh-CN"/>
              </w:rPr>
              <w:t>3.30元/m³</w:t>
            </w:r>
          </w:p>
        </w:tc>
        <w:tc>
          <w:tcPr>
            <w:tcW w:w="1572" w:type="dxa"/>
            <w:vAlign w:val="center"/>
          </w:tcPr>
          <w:p w14:paraId="5BB59004">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asciiTheme="minorEastAsia" w:hAnsiTheme="minorEastAsia" w:eastAsiaTheme="minorEastAsia"/>
                <w:color w:val="auto"/>
                <w:sz w:val="24"/>
                <w:szCs w:val="24"/>
                <w:lang w:val="en-US" w:eastAsia="zh-CN"/>
              </w:rPr>
              <w:t>3.30元/m³</w:t>
            </w:r>
          </w:p>
        </w:tc>
        <w:tc>
          <w:tcPr>
            <w:tcW w:w="1440" w:type="dxa"/>
            <w:vAlign w:val="center"/>
          </w:tcPr>
          <w:p w14:paraId="2DFA40EC">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cs="仿宋_GB2312" w:asciiTheme="minorEastAsia" w:hAnsiTheme="minorEastAsia" w:eastAsiaTheme="minorEastAsia"/>
                <w:b w:val="0"/>
                <w:bCs w:val="0"/>
                <w:color w:val="auto"/>
                <w:sz w:val="24"/>
                <w:lang w:val="en-US" w:eastAsia="zh-CN"/>
              </w:rPr>
              <w:t>否</w:t>
            </w:r>
          </w:p>
        </w:tc>
        <w:tc>
          <w:tcPr>
            <w:tcW w:w="1954" w:type="dxa"/>
            <w:vAlign w:val="center"/>
          </w:tcPr>
          <w:p w14:paraId="2E648A92">
            <w:pPr>
              <w:keepNext w:val="0"/>
              <w:keepLines w:val="0"/>
              <w:pageBreakBefore w:val="0"/>
              <w:widowControl w:val="0"/>
              <w:kinsoku/>
              <w:wordWrap/>
              <w:overflowPunct/>
              <w:topLinePunct w:val="0"/>
              <w:autoSpaceDE/>
              <w:autoSpaceDN/>
              <w:bidi w:val="0"/>
              <w:adjustRightInd/>
              <w:snapToGrid/>
              <w:spacing w:line="440" w:lineRule="exact"/>
              <w:ind w:right="0" w:rightChars="0"/>
              <w:contextualSpacing/>
              <w:jc w:val="center"/>
              <w:textAlignment w:val="auto"/>
              <w:rPr>
                <w:rFonts w:hint="eastAsia" w:cs="仿宋_GB2312" w:asciiTheme="minorEastAsia" w:hAnsiTheme="minorEastAsia" w:eastAsiaTheme="minorEastAsia"/>
                <w:b w:val="0"/>
                <w:bCs w:val="0"/>
                <w:color w:val="auto"/>
                <w:sz w:val="24"/>
                <w:lang w:val="en-US" w:eastAsia="zh-CN"/>
              </w:rPr>
            </w:pPr>
            <w:r>
              <w:rPr>
                <w:rFonts w:hint="eastAsia" w:asciiTheme="minorEastAsia" w:hAnsiTheme="minorEastAsia" w:eastAsiaTheme="minorEastAsia"/>
                <w:b w:val="0"/>
                <w:bCs w:val="0"/>
                <w:color w:val="auto"/>
                <w:sz w:val="24"/>
                <w:szCs w:val="24"/>
                <w:lang w:val="en-US" w:eastAsia="zh-CN"/>
              </w:rPr>
              <w:t>0</w:t>
            </w:r>
            <w:r>
              <w:rPr>
                <w:rFonts w:hint="eastAsia" w:cs="仿宋_GB2312" w:asciiTheme="minorEastAsia" w:hAnsiTheme="minorEastAsia" w:eastAsiaTheme="minorEastAsia"/>
                <w:b w:val="0"/>
                <w:bCs w:val="0"/>
                <w:color w:val="auto"/>
                <w:sz w:val="24"/>
                <w:lang w:val="en-US" w:eastAsia="zh-CN"/>
              </w:rPr>
              <w:t>，其中小微企业采购金额：0</w:t>
            </w:r>
          </w:p>
        </w:tc>
      </w:tr>
    </w:tbl>
    <w:p w14:paraId="19E06F87">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5、采购需求（包括但不限于标的的名称、数量、简要技术需求或服务要求等）</w:t>
      </w:r>
    </w:p>
    <w:p w14:paraId="059B3C3B">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本项目位于许昌市建安区西部桂村乡、椹涧乡、灵井镇、榆林乡、河街乡、苏桥镇、艾庄乡、蒋李集镇共8个乡镇，包括原水泵站工程和清水管线工程。新建原水泵站总规模5万m³/d，新建原水输水管道DN800球墨铸铁管3500m（原水泵站-西部水厂），新建西部水厂至各乡镇及村级供水站配水管线总长169.683km。为充分利用南水北调中线分配水量，解决建安区西部水源置换问题。选取一家特许经营者由政府方出资代表及中标特许经营者出资共同组建项目公司负责许昌市建安区农村配水管网工程内相关供水设施的投融资、建设、运营维护和期满移交工作。</w:t>
      </w:r>
    </w:p>
    <w:p w14:paraId="4D37E522">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t>6、</w:t>
      </w:r>
      <w:r>
        <w:rPr>
          <w:rFonts w:hint="eastAsia" w:ascii="宋体" w:hAnsi="宋体" w:cs="宋体"/>
          <w:color w:val="auto"/>
          <w:kern w:val="0"/>
          <w:sz w:val="24"/>
          <w:szCs w:val="24"/>
          <w:lang w:val="en-US" w:eastAsia="zh-CN"/>
        </w:rPr>
        <w:t>合同履行期限</w:t>
      </w:r>
      <w:r>
        <w:rPr>
          <w:rFonts w:hint="eastAsia" w:asciiTheme="minorEastAsia" w:hAnsiTheme="minorEastAsia" w:eastAsiaTheme="minorEastAsia"/>
          <w:color w:val="auto"/>
          <w:sz w:val="24"/>
          <w:szCs w:val="24"/>
        </w:rPr>
        <w:t>：合同签订后至项目</w:t>
      </w:r>
      <w:r>
        <w:rPr>
          <w:rFonts w:hint="eastAsia" w:asciiTheme="minorEastAsia" w:hAnsiTheme="minorEastAsia" w:eastAsiaTheme="minorEastAsia"/>
          <w:color w:val="auto"/>
          <w:sz w:val="24"/>
          <w:szCs w:val="24"/>
          <w:lang w:val="en-US" w:eastAsia="zh-CN"/>
        </w:rPr>
        <w:t>特许经营期</w:t>
      </w:r>
      <w:r>
        <w:rPr>
          <w:rFonts w:hint="eastAsia" w:asciiTheme="minorEastAsia" w:hAnsiTheme="minorEastAsia" w:eastAsiaTheme="minorEastAsia"/>
          <w:color w:val="auto"/>
          <w:sz w:val="24"/>
          <w:szCs w:val="24"/>
        </w:rPr>
        <w:t>结束。</w:t>
      </w:r>
    </w:p>
    <w:p w14:paraId="590B186C">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cs="宋体"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7</w:t>
      </w:r>
      <w:bookmarkStart w:id="5" w:name="_Toc28359080"/>
      <w:bookmarkStart w:id="6" w:name="_Toc28359003"/>
      <w:bookmarkStart w:id="7" w:name="_Toc35393791"/>
      <w:bookmarkStart w:id="8" w:name="_Toc35393622"/>
      <w:r>
        <w:rPr>
          <w:rFonts w:hint="eastAsia" w:asciiTheme="minorEastAsia" w:hAnsiTheme="minorEastAsia" w:eastAsiaTheme="minorEastAsia"/>
          <w:color w:val="auto"/>
          <w:sz w:val="24"/>
          <w:szCs w:val="24"/>
        </w:rPr>
        <w:t>、本项目是否接受联合体投标：</w:t>
      </w:r>
      <w:r>
        <w:rPr>
          <w:rFonts w:hint="eastAsia" w:cs="宋体" w:asciiTheme="minorEastAsia" w:hAnsiTheme="minorEastAsia" w:eastAsiaTheme="minorEastAsia"/>
          <w:color w:val="auto"/>
          <w:sz w:val="24"/>
          <w:szCs w:val="24"/>
          <w:lang w:val="en-US" w:eastAsia="zh-CN"/>
        </w:rPr>
        <w:t>是</w:t>
      </w:r>
    </w:p>
    <w:p w14:paraId="67F445B3">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w:t>
      </w:r>
      <w:r>
        <w:rPr>
          <w:rFonts w:hint="eastAsia" w:asciiTheme="minorEastAsia" w:hAnsiTheme="minorEastAsia" w:eastAsiaTheme="minorEastAsia"/>
          <w:color w:val="auto"/>
          <w:sz w:val="24"/>
          <w:szCs w:val="24"/>
          <w:lang w:val="en-US" w:eastAsia="zh-CN"/>
        </w:rPr>
        <w:t>是否专门面向中小企业：否</w:t>
      </w:r>
    </w:p>
    <w:p w14:paraId="449190C4">
      <w:pPr>
        <w:keepNext w:val="0"/>
        <w:keepLines w:val="0"/>
        <w:pageBreakBefore w:val="0"/>
        <w:widowControl w:val="0"/>
        <w:kinsoku/>
        <w:wordWrap/>
        <w:overflowPunct/>
        <w:topLinePunct w:val="0"/>
        <w:autoSpaceDE/>
        <w:autoSpaceDN/>
        <w:bidi w:val="0"/>
        <w:adjustRightInd w:val="0"/>
        <w:snapToGrid w:val="0"/>
        <w:spacing w:line="420" w:lineRule="auto"/>
        <w:jc w:val="left"/>
        <w:textAlignment w:val="auto"/>
        <w:rPr>
          <w:rFonts w:ascii="宋体" w:hAnsi="宋体" w:cs="宋体"/>
          <w:b/>
          <w:bCs/>
          <w:color w:val="auto"/>
          <w:sz w:val="24"/>
          <w:szCs w:val="28"/>
        </w:rPr>
      </w:pPr>
      <w:r>
        <w:rPr>
          <w:rFonts w:hint="eastAsia" w:ascii="宋体" w:hAnsi="宋体" w:cs="宋体"/>
          <w:b/>
          <w:bCs/>
          <w:color w:val="auto"/>
          <w:sz w:val="24"/>
          <w:szCs w:val="28"/>
        </w:rPr>
        <w:t>二、申请人的资格要求：</w:t>
      </w:r>
      <w:bookmarkEnd w:id="5"/>
      <w:bookmarkEnd w:id="6"/>
      <w:bookmarkEnd w:id="7"/>
      <w:bookmarkEnd w:id="8"/>
      <w:bookmarkStart w:id="9" w:name="_Toc28359081"/>
      <w:bookmarkStart w:id="10" w:name="_Toc35393623"/>
      <w:bookmarkStart w:id="11" w:name="_Toc35393792"/>
      <w:bookmarkStart w:id="12" w:name="_Toc28359004"/>
    </w:p>
    <w:p w14:paraId="4CD4C7F9">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1、满足《中华人民共和国政府采购法》第二十二条规定；</w:t>
      </w:r>
    </w:p>
    <w:p w14:paraId="6229611F">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eastAsia="宋体" w:asciiTheme="minorEastAsia" w:hAnsiTheme="minorEastAsia"/>
          <w:color w:val="auto"/>
          <w:sz w:val="24"/>
          <w:szCs w:val="24"/>
          <w:lang w:eastAsia="zh-CN"/>
        </w:rPr>
      </w:pPr>
      <w:r>
        <w:rPr>
          <w:rFonts w:hint="eastAsia" w:asciiTheme="minorEastAsia" w:hAnsiTheme="minorEastAsia" w:eastAsiaTheme="minorEastAsia"/>
          <w:color w:val="auto"/>
          <w:sz w:val="24"/>
          <w:szCs w:val="24"/>
          <w:lang w:val="en-US" w:eastAsia="zh-CN"/>
        </w:rPr>
        <w:t>2、</w:t>
      </w:r>
      <w:r>
        <w:rPr>
          <w:rFonts w:hint="eastAsia" w:ascii="宋体" w:hAnsi="宋体"/>
          <w:color w:val="auto"/>
          <w:sz w:val="24"/>
          <w:szCs w:val="28"/>
        </w:rPr>
        <w:t>落实政府采购政策满足的资格要求：本项目落实节能环保、中小微型企业、监狱企业、残疾人福利性单位扶持等相关政府采购政策</w:t>
      </w:r>
      <w:r>
        <w:rPr>
          <w:rFonts w:hint="eastAsia" w:ascii="宋体" w:hAnsi="宋体"/>
          <w:color w:val="auto"/>
          <w:sz w:val="24"/>
          <w:szCs w:val="28"/>
          <w:lang w:eastAsia="zh-CN"/>
        </w:rPr>
        <w:t>；</w:t>
      </w:r>
    </w:p>
    <w:p w14:paraId="2449B09D">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rPr>
        <w:t>、本项目的特定资格要求：</w:t>
      </w:r>
    </w:p>
    <w:p w14:paraId="14CA3FAF">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3.1施工单位须具备建设行政主管部门颁发的水利水电工程施工总承包贰级及以上资质，且具备有效的安全生产许可证。</w:t>
      </w:r>
    </w:p>
    <w:p w14:paraId="5B50D7F7">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cs="宋体" w:asciiTheme="minorEastAsia" w:hAnsiTheme="minorEastAsia" w:eastAsiaTheme="minorEastAsia"/>
          <w:color w:val="auto"/>
          <w:kern w:val="0"/>
          <w:sz w:val="24"/>
          <w:szCs w:val="24"/>
        </w:rPr>
      </w:pPr>
      <w:r>
        <w:rPr>
          <w:rFonts w:hint="eastAsia" w:asciiTheme="minorEastAsia" w:hAnsiTheme="minorEastAsia" w:eastAsiaTheme="minorEastAsia"/>
          <w:color w:val="auto"/>
          <w:sz w:val="24"/>
          <w:szCs w:val="24"/>
          <w:lang w:val="en-US" w:eastAsia="zh-CN"/>
        </w:rPr>
        <w:t>3.2拟派施工项目负责人须具有水利水电工程专业贰级及以上注册建造师资格证书，且具有有效的安全生产考核合格证；</w:t>
      </w:r>
      <w:r>
        <w:rPr>
          <w:rFonts w:hint="eastAsia" w:cs="宋体" w:asciiTheme="minorEastAsia" w:hAnsiTheme="minorEastAsia" w:eastAsiaTheme="minorEastAsia"/>
          <w:color w:val="auto"/>
          <w:kern w:val="0"/>
          <w:sz w:val="24"/>
          <w:szCs w:val="24"/>
        </w:rPr>
        <w:t>拟派</w:t>
      </w:r>
      <w:r>
        <w:rPr>
          <w:rFonts w:hint="eastAsia" w:cs="宋体" w:asciiTheme="minorEastAsia" w:hAnsiTheme="minorEastAsia" w:eastAsiaTheme="minorEastAsia"/>
          <w:color w:val="auto"/>
          <w:kern w:val="0"/>
          <w:sz w:val="24"/>
          <w:szCs w:val="24"/>
          <w:lang w:val="en-US" w:eastAsia="zh-CN"/>
        </w:rPr>
        <w:t>施工</w:t>
      </w:r>
      <w:r>
        <w:rPr>
          <w:rFonts w:hint="eastAsia" w:cs="宋体" w:asciiTheme="minorEastAsia" w:hAnsiTheme="minorEastAsia" w:eastAsiaTheme="minorEastAsia"/>
          <w:color w:val="auto"/>
          <w:kern w:val="0"/>
          <w:sz w:val="24"/>
          <w:szCs w:val="24"/>
        </w:rPr>
        <w:t>项目技术负责人具有水利专业中级及以上技术职称</w:t>
      </w:r>
      <w:r>
        <w:rPr>
          <w:rFonts w:hint="eastAsia" w:cs="宋体" w:asciiTheme="minorEastAsia" w:hAnsiTheme="minorEastAsia" w:eastAsiaTheme="minorEastAsia"/>
          <w:color w:val="auto"/>
          <w:kern w:val="0"/>
          <w:sz w:val="24"/>
          <w:szCs w:val="24"/>
          <w:lang w:eastAsia="zh-CN"/>
        </w:rPr>
        <w:t>；</w:t>
      </w:r>
      <w:r>
        <w:rPr>
          <w:rFonts w:hint="eastAsia" w:cs="宋体" w:asciiTheme="minorEastAsia" w:hAnsiTheme="minorEastAsia" w:eastAsiaTheme="minorEastAsia"/>
          <w:color w:val="auto"/>
          <w:kern w:val="0"/>
          <w:sz w:val="24"/>
          <w:szCs w:val="24"/>
        </w:rPr>
        <w:t>项目负责人和技术负责人不得有在建工程，并出具无在建工程承诺书。</w:t>
      </w:r>
    </w:p>
    <w:p w14:paraId="66D7B47C">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default"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kern w:val="0"/>
          <w:sz w:val="24"/>
          <w:szCs w:val="24"/>
        </w:rPr>
        <w:t>3.3如为联合体投标，联合体成员中的施工单位须满足以上要求。</w:t>
      </w:r>
    </w:p>
    <w:bookmarkEnd w:id="9"/>
    <w:bookmarkEnd w:id="10"/>
    <w:bookmarkEnd w:id="11"/>
    <w:bookmarkEnd w:id="12"/>
    <w:p w14:paraId="62B09ABD">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4、本项目接受联合体投标，联合体应满足下列要求：</w:t>
      </w:r>
    </w:p>
    <w:p w14:paraId="53C70137">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4.1联合体组成员必须符合国家相关法律法规，联合体成员数量不超过4家，联合体各方不得再单独参加或者与其他供应商另外组成联合体参加同一合同项下的政府采购活动，如有违反将取消该联合体及联合体各成员的投标资格。</w:t>
      </w:r>
    </w:p>
    <w:p w14:paraId="6DE5F47E">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4.2联合体各方应签订联合体协议书，明确联合体成员各自分工及责任，并明确牵头人资格的成员方全权代表所有联合体成员参与本次投标。联合体协议书中应明确联合体成员各方均参股项目公司。</w:t>
      </w:r>
    </w:p>
    <w:p w14:paraId="5B77A713">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4.3投标报名的联合体，不得再变更其组织形式及成员构成。</w:t>
      </w:r>
    </w:p>
    <w:p w14:paraId="57CAB0D8">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uto"/>
        <w:jc w:val="left"/>
        <w:textAlignment w:val="auto"/>
        <w:rPr>
          <w:rFonts w:ascii="宋体" w:hAnsi="宋体" w:cs="Cambria"/>
          <w:b/>
          <w:color w:val="auto"/>
          <w:sz w:val="24"/>
          <w:szCs w:val="28"/>
        </w:rPr>
      </w:pPr>
      <w:r>
        <w:rPr>
          <w:rFonts w:hint="eastAsia" w:ascii="宋体" w:hAnsi="宋体" w:cs="Cambria"/>
          <w:b/>
          <w:color w:val="auto"/>
          <w:sz w:val="24"/>
          <w:szCs w:val="28"/>
        </w:rPr>
        <w:t>三、获取招标文件</w:t>
      </w:r>
    </w:p>
    <w:p w14:paraId="4012207A">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ascii="宋体" w:hAnsi="宋体" w:cs="Cambria"/>
          <w:color w:val="auto"/>
          <w:sz w:val="24"/>
          <w:szCs w:val="28"/>
        </w:rPr>
      </w:pPr>
      <w:r>
        <w:rPr>
          <w:rFonts w:hint="eastAsia" w:ascii="宋体" w:hAnsi="宋体" w:cs="Cambria"/>
          <w:color w:val="auto"/>
          <w:sz w:val="24"/>
          <w:szCs w:val="28"/>
        </w:rPr>
        <w:t>1</w:t>
      </w:r>
      <w:r>
        <w:rPr>
          <w:rFonts w:hint="eastAsia" w:ascii="宋体" w:hAnsi="宋体" w:cs="Cambria"/>
          <w:color w:val="auto"/>
          <w:sz w:val="24"/>
          <w:szCs w:val="28"/>
          <w:lang w:eastAsia="zh-CN"/>
        </w:rPr>
        <w:t>、</w:t>
      </w:r>
      <w:r>
        <w:rPr>
          <w:rFonts w:hint="eastAsia" w:ascii="宋体" w:hAnsi="宋体" w:cs="Cambria"/>
          <w:color w:val="auto"/>
          <w:sz w:val="24"/>
          <w:szCs w:val="28"/>
        </w:rPr>
        <w:t>时间</w:t>
      </w:r>
      <w:r>
        <w:rPr>
          <w:rFonts w:hint="eastAsia" w:ascii="宋体" w:hAnsi="宋体" w:cs="Cambria"/>
          <w:color w:val="auto"/>
          <w:sz w:val="24"/>
          <w:szCs w:val="28"/>
          <w:highlight w:val="none"/>
        </w:rPr>
        <w:t>：202</w:t>
      </w:r>
      <w:r>
        <w:rPr>
          <w:rFonts w:hint="eastAsia" w:ascii="宋体" w:hAnsi="宋体" w:cs="Cambria"/>
          <w:color w:val="auto"/>
          <w:sz w:val="24"/>
          <w:szCs w:val="28"/>
          <w:highlight w:val="none"/>
          <w:lang w:val="en-US" w:eastAsia="zh-CN"/>
        </w:rPr>
        <w:t>4</w:t>
      </w:r>
      <w:r>
        <w:rPr>
          <w:rFonts w:hint="eastAsia" w:ascii="宋体" w:hAnsi="宋体" w:cs="Cambria"/>
          <w:color w:val="auto"/>
          <w:sz w:val="24"/>
          <w:szCs w:val="28"/>
          <w:highlight w:val="none"/>
        </w:rPr>
        <w:t>年</w:t>
      </w:r>
      <w:r>
        <w:rPr>
          <w:rFonts w:hint="eastAsia" w:ascii="宋体" w:hAnsi="宋体" w:cs="Cambria"/>
          <w:color w:val="auto"/>
          <w:sz w:val="24"/>
          <w:szCs w:val="28"/>
          <w:highlight w:val="none"/>
          <w:lang w:val="en-US" w:eastAsia="zh-CN"/>
        </w:rPr>
        <w:t>11</w:t>
      </w:r>
      <w:r>
        <w:rPr>
          <w:rFonts w:hint="eastAsia" w:ascii="宋体" w:hAnsi="宋体" w:cs="Cambria"/>
          <w:color w:val="auto"/>
          <w:sz w:val="24"/>
          <w:szCs w:val="28"/>
          <w:highlight w:val="none"/>
        </w:rPr>
        <w:t>月</w:t>
      </w:r>
      <w:r>
        <w:rPr>
          <w:rFonts w:hint="eastAsia" w:ascii="宋体" w:hAnsi="宋体" w:cs="Cambria"/>
          <w:color w:val="auto"/>
          <w:sz w:val="24"/>
          <w:szCs w:val="28"/>
          <w:highlight w:val="none"/>
          <w:lang w:val="en-US" w:eastAsia="zh-CN"/>
        </w:rPr>
        <w:t>5</w:t>
      </w:r>
      <w:r>
        <w:rPr>
          <w:rFonts w:hint="eastAsia" w:ascii="宋体" w:hAnsi="宋体" w:cs="Cambria"/>
          <w:color w:val="auto"/>
          <w:sz w:val="24"/>
          <w:szCs w:val="28"/>
          <w:highlight w:val="none"/>
        </w:rPr>
        <w:t>日至</w:t>
      </w:r>
      <w:r>
        <w:rPr>
          <w:rFonts w:hint="eastAsia" w:ascii="宋体" w:hAnsi="宋体" w:cs="Cambria"/>
          <w:color w:val="auto"/>
          <w:sz w:val="24"/>
          <w:szCs w:val="28"/>
          <w:highlight w:val="none"/>
          <w:lang w:eastAsia="zh-CN"/>
        </w:rPr>
        <w:t>2024年</w:t>
      </w:r>
      <w:r>
        <w:rPr>
          <w:rFonts w:hint="eastAsia" w:ascii="宋体" w:hAnsi="宋体" w:cs="Cambria"/>
          <w:color w:val="auto"/>
          <w:sz w:val="24"/>
          <w:szCs w:val="28"/>
          <w:highlight w:val="none"/>
          <w:lang w:val="en-US" w:eastAsia="zh-CN"/>
        </w:rPr>
        <w:t>11</w:t>
      </w:r>
      <w:r>
        <w:rPr>
          <w:rFonts w:hint="eastAsia" w:ascii="宋体" w:hAnsi="宋体" w:cs="Cambria"/>
          <w:color w:val="auto"/>
          <w:sz w:val="24"/>
          <w:szCs w:val="28"/>
          <w:highlight w:val="none"/>
          <w:lang w:eastAsia="zh-CN"/>
        </w:rPr>
        <w:t>月</w:t>
      </w:r>
      <w:r>
        <w:rPr>
          <w:rFonts w:hint="eastAsia" w:ascii="宋体" w:hAnsi="宋体" w:cs="Cambria"/>
          <w:color w:val="auto"/>
          <w:sz w:val="24"/>
          <w:szCs w:val="28"/>
          <w:highlight w:val="none"/>
          <w:lang w:val="en-US" w:eastAsia="zh-CN"/>
        </w:rPr>
        <w:t>28</w:t>
      </w:r>
      <w:r>
        <w:rPr>
          <w:rFonts w:hint="eastAsia" w:ascii="宋体" w:hAnsi="宋体" w:cs="Cambria"/>
          <w:color w:val="auto"/>
          <w:sz w:val="24"/>
          <w:szCs w:val="28"/>
          <w:highlight w:val="none"/>
          <w:lang w:eastAsia="zh-CN"/>
        </w:rPr>
        <w:t>日</w:t>
      </w:r>
      <w:r>
        <w:rPr>
          <w:rFonts w:hint="eastAsia" w:ascii="宋体" w:hAnsi="宋体" w:cs="Cambria"/>
          <w:color w:val="auto"/>
          <w:sz w:val="24"/>
          <w:szCs w:val="28"/>
          <w:highlight w:val="none"/>
        </w:rPr>
        <w:t>，每</w:t>
      </w:r>
      <w:r>
        <w:rPr>
          <w:rFonts w:hint="eastAsia" w:ascii="宋体" w:hAnsi="宋体" w:cs="Cambria"/>
          <w:color w:val="auto"/>
          <w:sz w:val="24"/>
          <w:szCs w:val="28"/>
        </w:rPr>
        <w:t>天上午00:00至12:00，下午12:0</w:t>
      </w:r>
      <w:r>
        <w:rPr>
          <w:rFonts w:hint="eastAsia" w:ascii="宋体" w:hAnsi="宋体" w:cs="Cambria"/>
          <w:color w:val="auto"/>
          <w:sz w:val="24"/>
          <w:szCs w:val="28"/>
          <w:lang w:val="en-US" w:eastAsia="zh-CN"/>
        </w:rPr>
        <w:t>0</w:t>
      </w:r>
      <w:r>
        <w:rPr>
          <w:rFonts w:hint="eastAsia" w:ascii="宋体" w:hAnsi="宋体" w:cs="Cambria"/>
          <w:color w:val="auto"/>
          <w:sz w:val="24"/>
          <w:szCs w:val="28"/>
        </w:rPr>
        <w:t>至23:59（北京时间，法定节假日除外）。</w:t>
      </w:r>
      <w:bookmarkStart w:id="13" w:name="_Toc28359005"/>
      <w:bookmarkStart w:id="14" w:name="_Toc28359082"/>
      <w:bookmarkStart w:id="15" w:name="_Toc35393624"/>
      <w:bookmarkStart w:id="16" w:name="_Toc35393793"/>
    </w:p>
    <w:p w14:paraId="5ECFDAEE">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宋体" w:hAnsi="宋体" w:eastAsia="宋体" w:cs="Cambria"/>
          <w:color w:val="auto"/>
          <w:sz w:val="24"/>
          <w:szCs w:val="28"/>
          <w:lang w:eastAsia="zh-CN"/>
        </w:rPr>
      </w:pPr>
      <w:r>
        <w:rPr>
          <w:rFonts w:hint="eastAsia" w:ascii="宋体" w:hAnsi="宋体" w:cs="Cambria"/>
          <w:color w:val="auto"/>
          <w:sz w:val="24"/>
          <w:szCs w:val="28"/>
        </w:rPr>
        <w:t>2</w:t>
      </w:r>
      <w:r>
        <w:rPr>
          <w:rFonts w:hint="eastAsia" w:ascii="宋体" w:hAnsi="宋体" w:cs="Cambria"/>
          <w:color w:val="auto"/>
          <w:sz w:val="24"/>
          <w:szCs w:val="28"/>
          <w:lang w:eastAsia="zh-CN"/>
        </w:rPr>
        <w:t>、</w:t>
      </w:r>
      <w:r>
        <w:rPr>
          <w:rFonts w:hint="eastAsia" w:ascii="宋体" w:hAnsi="宋体" w:cs="Cambria"/>
          <w:color w:val="auto"/>
          <w:sz w:val="24"/>
          <w:szCs w:val="28"/>
        </w:rPr>
        <w:t>地点：《全国公共资源交易平台（河南省·许昌市）》（</w:t>
      </w:r>
      <w:r>
        <w:rPr>
          <w:rFonts w:hint="eastAsia" w:ascii="宋体" w:hAnsi="宋体" w:eastAsia="宋体"/>
          <w:bCs/>
          <w:color w:val="auto"/>
          <w:kern w:val="0"/>
          <w:sz w:val="24"/>
          <w:szCs w:val="24"/>
        </w:rPr>
        <w:t>http://117.159.53.11:60632/</w:t>
      </w:r>
      <w:r>
        <w:rPr>
          <w:rFonts w:hint="eastAsia" w:ascii="宋体" w:hAnsi="宋体" w:cs="Cambria"/>
          <w:color w:val="auto"/>
          <w:sz w:val="24"/>
          <w:szCs w:val="28"/>
        </w:rPr>
        <w:t>）</w:t>
      </w:r>
      <w:r>
        <w:rPr>
          <w:rFonts w:hint="eastAsia" w:ascii="宋体" w:hAnsi="宋体" w:cs="Cambria"/>
          <w:color w:val="auto"/>
          <w:sz w:val="24"/>
          <w:szCs w:val="28"/>
          <w:lang w:eastAsia="zh-CN"/>
        </w:rPr>
        <w:t>。</w:t>
      </w:r>
    </w:p>
    <w:p w14:paraId="08A6E006">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ascii="宋体" w:hAnsi="宋体" w:cs="Cambria"/>
          <w:color w:val="auto"/>
          <w:sz w:val="24"/>
          <w:szCs w:val="28"/>
        </w:rPr>
      </w:pPr>
      <w:r>
        <w:rPr>
          <w:rFonts w:hint="eastAsia" w:ascii="宋体" w:hAnsi="宋体" w:cs="Cambria"/>
          <w:color w:val="auto"/>
          <w:sz w:val="24"/>
          <w:szCs w:val="28"/>
        </w:rPr>
        <w:t>3</w:t>
      </w:r>
      <w:r>
        <w:rPr>
          <w:rFonts w:hint="eastAsia" w:ascii="宋体" w:hAnsi="宋体" w:cs="Cambria"/>
          <w:color w:val="auto"/>
          <w:sz w:val="24"/>
          <w:szCs w:val="28"/>
          <w:lang w:eastAsia="zh-CN"/>
        </w:rPr>
        <w:t>、</w:t>
      </w:r>
      <w:r>
        <w:rPr>
          <w:rFonts w:hint="eastAsia" w:ascii="宋体" w:hAnsi="宋体" w:cs="Cambria"/>
          <w:color w:val="auto"/>
          <w:sz w:val="24"/>
          <w:szCs w:val="28"/>
        </w:rPr>
        <w:t>方式：在线下载。</w:t>
      </w:r>
    </w:p>
    <w:p w14:paraId="3CA579B6">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ascii="宋体" w:hAnsi="宋体" w:cs="Cambria"/>
          <w:color w:val="auto"/>
          <w:sz w:val="24"/>
          <w:szCs w:val="28"/>
        </w:rPr>
      </w:pPr>
      <w:r>
        <w:rPr>
          <w:rFonts w:hint="eastAsia" w:ascii="宋体" w:hAnsi="宋体" w:cs="Cambria"/>
          <w:color w:val="auto"/>
          <w:sz w:val="24"/>
          <w:szCs w:val="28"/>
        </w:rPr>
        <w:t>4</w:t>
      </w:r>
      <w:r>
        <w:rPr>
          <w:rFonts w:hint="eastAsia" w:ascii="宋体" w:hAnsi="宋体" w:cs="Cambria"/>
          <w:color w:val="auto"/>
          <w:sz w:val="24"/>
          <w:szCs w:val="28"/>
          <w:lang w:eastAsia="zh-CN"/>
        </w:rPr>
        <w:t>、</w:t>
      </w:r>
      <w:r>
        <w:rPr>
          <w:rFonts w:hint="eastAsia" w:ascii="宋体" w:hAnsi="宋体" w:cs="Cambria"/>
          <w:color w:val="auto"/>
          <w:sz w:val="24"/>
          <w:szCs w:val="28"/>
        </w:rPr>
        <w:t>售价：0元。</w:t>
      </w:r>
    </w:p>
    <w:p w14:paraId="018DA770">
      <w:pPr>
        <w:keepNext w:val="0"/>
        <w:keepLines w:val="0"/>
        <w:pageBreakBefore w:val="0"/>
        <w:widowControl w:val="0"/>
        <w:kinsoku/>
        <w:wordWrap/>
        <w:overflowPunct/>
        <w:topLinePunct w:val="0"/>
        <w:autoSpaceDE/>
        <w:autoSpaceDN/>
        <w:bidi w:val="0"/>
        <w:adjustRightInd w:val="0"/>
        <w:snapToGrid w:val="0"/>
        <w:spacing w:line="420" w:lineRule="auto"/>
        <w:jc w:val="left"/>
        <w:textAlignment w:val="auto"/>
        <w:rPr>
          <w:rFonts w:ascii="宋体" w:hAnsi="宋体" w:cs="Cambria"/>
          <w:color w:val="auto"/>
          <w:sz w:val="24"/>
          <w:szCs w:val="28"/>
        </w:rPr>
      </w:pPr>
      <w:r>
        <w:rPr>
          <w:rFonts w:ascii="宋体" w:hAnsi="宋体" w:cs="Cambria"/>
          <w:b/>
          <w:color w:val="auto"/>
          <w:sz w:val="24"/>
          <w:szCs w:val="28"/>
        </w:rPr>
        <w:t>四、投标截止时间及地点</w:t>
      </w:r>
      <w:bookmarkEnd w:id="13"/>
      <w:bookmarkEnd w:id="14"/>
      <w:bookmarkEnd w:id="15"/>
      <w:bookmarkEnd w:id="16"/>
    </w:p>
    <w:p w14:paraId="1D9219B7">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宋体" w:hAnsi="宋体" w:eastAsia="宋体"/>
          <w:bCs/>
          <w:color w:val="auto"/>
          <w:sz w:val="24"/>
          <w:szCs w:val="28"/>
          <w:lang w:eastAsia="zh-CN"/>
        </w:rPr>
      </w:pPr>
      <w:r>
        <w:rPr>
          <w:rFonts w:hint="eastAsia" w:ascii="宋体" w:hAnsi="宋体"/>
          <w:bCs/>
          <w:color w:val="auto"/>
          <w:sz w:val="24"/>
          <w:szCs w:val="28"/>
        </w:rPr>
        <w:t>1</w:t>
      </w:r>
      <w:r>
        <w:rPr>
          <w:rFonts w:hint="eastAsia" w:ascii="宋体" w:hAnsi="宋体"/>
          <w:bCs/>
          <w:color w:val="auto"/>
          <w:sz w:val="24"/>
          <w:szCs w:val="28"/>
          <w:lang w:eastAsia="zh-CN"/>
        </w:rPr>
        <w:t>、</w:t>
      </w:r>
      <w:r>
        <w:rPr>
          <w:rFonts w:hint="eastAsia" w:ascii="宋体" w:hAnsi="宋体"/>
          <w:bCs/>
          <w:color w:val="auto"/>
          <w:sz w:val="24"/>
          <w:szCs w:val="28"/>
        </w:rPr>
        <w:t>时间：</w:t>
      </w:r>
      <w:r>
        <w:rPr>
          <w:rFonts w:hint="eastAsia" w:ascii="宋体" w:hAnsi="宋体"/>
          <w:bCs/>
          <w:color w:val="auto"/>
          <w:sz w:val="24"/>
          <w:szCs w:val="28"/>
          <w:highlight w:val="none"/>
          <w:lang w:eastAsia="zh-CN"/>
        </w:rPr>
        <w:t>2024年</w:t>
      </w:r>
      <w:r>
        <w:rPr>
          <w:rFonts w:hint="eastAsia" w:ascii="宋体" w:hAnsi="宋体"/>
          <w:bCs/>
          <w:color w:val="auto"/>
          <w:sz w:val="24"/>
          <w:szCs w:val="28"/>
          <w:highlight w:val="none"/>
          <w:lang w:val="en-US" w:eastAsia="zh-CN"/>
        </w:rPr>
        <w:t>11</w:t>
      </w:r>
      <w:r>
        <w:rPr>
          <w:rFonts w:hint="eastAsia" w:ascii="宋体" w:hAnsi="宋体"/>
          <w:bCs/>
          <w:color w:val="auto"/>
          <w:sz w:val="24"/>
          <w:szCs w:val="28"/>
          <w:highlight w:val="none"/>
          <w:lang w:eastAsia="zh-CN"/>
        </w:rPr>
        <w:t>月</w:t>
      </w:r>
      <w:r>
        <w:rPr>
          <w:rFonts w:hint="eastAsia" w:ascii="宋体" w:hAnsi="宋体"/>
          <w:bCs/>
          <w:color w:val="auto"/>
          <w:sz w:val="24"/>
          <w:szCs w:val="28"/>
          <w:highlight w:val="none"/>
          <w:lang w:val="en-US" w:eastAsia="zh-CN"/>
        </w:rPr>
        <w:t>28</w:t>
      </w:r>
      <w:r>
        <w:rPr>
          <w:rFonts w:hint="eastAsia" w:ascii="宋体" w:hAnsi="宋体"/>
          <w:bCs/>
          <w:color w:val="auto"/>
          <w:sz w:val="24"/>
          <w:szCs w:val="28"/>
          <w:highlight w:val="none"/>
          <w:lang w:eastAsia="zh-CN"/>
        </w:rPr>
        <w:t>日</w:t>
      </w:r>
      <w:r>
        <w:rPr>
          <w:rFonts w:hint="eastAsia" w:ascii="宋体" w:hAnsi="宋体"/>
          <w:bCs/>
          <w:color w:val="auto"/>
          <w:sz w:val="24"/>
          <w:szCs w:val="28"/>
          <w:highlight w:val="none"/>
        </w:rPr>
        <w:t>09</w:t>
      </w:r>
      <w:r>
        <w:rPr>
          <w:rFonts w:hint="eastAsia" w:ascii="宋体" w:hAnsi="宋体"/>
          <w:bCs/>
          <w:color w:val="auto"/>
          <w:sz w:val="24"/>
          <w:szCs w:val="28"/>
          <w:highlight w:val="none"/>
          <w:lang w:val="en-US" w:eastAsia="zh-CN"/>
        </w:rPr>
        <w:t>时3</w:t>
      </w:r>
      <w:r>
        <w:rPr>
          <w:rFonts w:hint="eastAsia" w:ascii="宋体" w:hAnsi="宋体"/>
          <w:bCs/>
          <w:color w:val="auto"/>
          <w:sz w:val="24"/>
          <w:szCs w:val="28"/>
          <w:highlight w:val="none"/>
        </w:rPr>
        <w:t>0分</w:t>
      </w:r>
      <w:r>
        <w:rPr>
          <w:rFonts w:hint="eastAsia" w:ascii="宋体" w:hAnsi="宋体"/>
          <w:bCs/>
          <w:color w:val="auto"/>
          <w:sz w:val="24"/>
          <w:szCs w:val="28"/>
        </w:rPr>
        <w:t>（北京时间）</w:t>
      </w:r>
      <w:r>
        <w:rPr>
          <w:rFonts w:hint="eastAsia" w:ascii="宋体" w:hAnsi="宋体"/>
          <w:bCs/>
          <w:color w:val="auto"/>
          <w:sz w:val="24"/>
          <w:szCs w:val="28"/>
          <w:lang w:eastAsia="zh-CN"/>
        </w:rPr>
        <w:t>。</w:t>
      </w:r>
    </w:p>
    <w:p w14:paraId="5760BF83">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宋体" w:hAnsi="宋体"/>
          <w:bCs/>
          <w:color w:val="auto"/>
          <w:sz w:val="24"/>
          <w:szCs w:val="28"/>
        </w:rPr>
      </w:pPr>
      <w:r>
        <w:rPr>
          <w:rFonts w:hint="eastAsia" w:ascii="宋体" w:hAnsi="宋体"/>
          <w:bCs/>
          <w:color w:val="auto"/>
          <w:sz w:val="24"/>
          <w:szCs w:val="28"/>
        </w:rPr>
        <w:t>2</w:t>
      </w:r>
      <w:r>
        <w:rPr>
          <w:rFonts w:hint="eastAsia" w:ascii="宋体" w:hAnsi="宋体"/>
          <w:bCs/>
          <w:color w:val="auto"/>
          <w:sz w:val="24"/>
          <w:szCs w:val="28"/>
          <w:lang w:eastAsia="zh-CN"/>
        </w:rPr>
        <w:t>、</w:t>
      </w:r>
      <w:r>
        <w:rPr>
          <w:rFonts w:hint="eastAsia" w:ascii="宋体" w:hAnsi="宋体"/>
          <w:bCs/>
          <w:color w:val="auto"/>
          <w:sz w:val="24"/>
          <w:szCs w:val="28"/>
        </w:rPr>
        <w:t>地点：本项目为全流程电子化交易</w:t>
      </w:r>
      <w:r>
        <w:rPr>
          <w:rFonts w:hint="eastAsia" w:ascii="宋体" w:hAnsi="宋体"/>
          <w:bCs/>
          <w:color w:val="auto"/>
          <w:sz w:val="24"/>
          <w:szCs w:val="28"/>
          <w:lang w:eastAsia="zh-CN"/>
        </w:rPr>
        <w:t>（不见面开标）</w:t>
      </w:r>
      <w:r>
        <w:rPr>
          <w:rFonts w:hint="eastAsia" w:ascii="宋体" w:hAnsi="宋体"/>
          <w:bCs/>
          <w:color w:val="auto"/>
          <w:sz w:val="24"/>
          <w:szCs w:val="28"/>
        </w:rPr>
        <w:t>项目，</w:t>
      </w:r>
      <w:r>
        <w:rPr>
          <w:rFonts w:hint="eastAsia" w:ascii="宋体" w:hAnsi="宋体"/>
          <w:bCs/>
          <w:color w:val="auto"/>
          <w:sz w:val="24"/>
          <w:szCs w:val="28"/>
          <w:lang w:val="en-US" w:eastAsia="zh-CN"/>
        </w:rPr>
        <w:t>投标人</w:t>
      </w:r>
      <w:r>
        <w:rPr>
          <w:rFonts w:hint="eastAsia" w:ascii="宋体" w:hAnsi="宋体"/>
          <w:bCs/>
          <w:color w:val="auto"/>
          <w:sz w:val="24"/>
          <w:szCs w:val="28"/>
        </w:rPr>
        <w:t>必须通过许昌市公共资源电子交易系统下载“新点投标文件制作软件（河南省版）”</w:t>
      </w:r>
      <w:r>
        <w:rPr>
          <w:rFonts w:hint="eastAsia" w:ascii="宋体" w:hAnsi="宋体"/>
          <w:bCs/>
          <w:color w:val="auto"/>
          <w:sz w:val="24"/>
          <w:szCs w:val="28"/>
          <w:lang w:val="en-US" w:eastAsia="zh-CN"/>
        </w:rPr>
        <w:t>的最新版本</w:t>
      </w:r>
      <w:r>
        <w:rPr>
          <w:rFonts w:hint="eastAsia" w:ascii="宋体" w:hAnsi="宋体"/>
          <w:bCs/>
          <w:color w:val="auto"/>
          <w:sz w:val="24"/>
          <w:szCs w:val="28"/>
        </w:rPr>
        <w:t>制作并上传加密电子投标文件（后缀格式为.XCSTF）。截至投标截止时间，交易系统投标通道将关闭，投标人未完成电子投标文件上传的，投标将被拒绝。</w:t>
      </w:r>
    </w:p>
    <w:p w14:paraId="578531F8">
      <w:pPr>
        <w:keepNext w:val="0"/>
        <w:keepLines w:val="0"/>
        <w:pageBreakBefore w:val="0"/>
        <w:widowControl w:val="0"/>
        <w:kinsoku/>
        <w:wordWrap/>
        <w:overflowPunct/>
        <w:topLinePunct w:val="0"/>
        <w:autoSpaceDE/>
        <w:autoSpaceDN/>
        <w:bidi w:val="0"/>
        <w:adjustRightInd w:val="0"/>
        <w:snapToGrid w:val="0"/>
        <w:spacing w:line="420" w:lineRule="auto"/>
        <w:jc w:val="left"/>
        <w:textAlignment w:val="auto"/>
        <w:rPr>
          <w:rFonts w:ascii="宋体" w:hAnsi="宋体" w:eastAsia="宋体" w:cs="Cambria"/>
          <w:b/>
          <w:color w:val="auto"/>
          <w:sz w:val="24"/>
          <w:szCs w:val="28"/>
        </w:rPr>
      </w:pPr>
      <w:r>
        <w:rPr>
          <w:rFonts w:hint="eastAsia" w:ascii="宋体" w:hAnsi="宋体" w:eastAsia="宋体" w:cs="Cambria"/>
          <w:b/>
          <w:color w:val="auto"/>
          <w:sz w:val="24"/>
          <w:szCs w:val="28"/>
        </w:rPr>
        <w:t>五、开标时间及地点</w:t>
      </w:r>
    </w:p>
    <w:p w14:paraId="66550A42">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宋体" w:hAnsi="宋体" w:eastAsia="宋体" w:cs="Times New Roman"/>
          <w:bCs/>
          <w:color w:val="auto"/>
          <w:sz w:val="24"/>
          <w:szCs w:val="28"/>
        </w:rPr>
      </w:pPr>
      <w:r>
        <w:rPr>
          <w:rFonts w:hint="eastAsia" w:ascii="宋体" w:hAnsi="宋体" w:eastAsia="宋体" w:cs="Times New Roman"/>
          <w:bCs/>
          <w:color w:val="auto"/>
          <w:sz w:val="24"/>
          <w:szCs w:val="28"/>
        </w:rPr>
        <w:t>1</w:t>
      </w:r>
      <w:r>
        <w:rPr>
          <w:rFonts w:hint="eastAsia" w:ascii="宋体" w:hAnsi="宋体" w:cs="Times New Roman"/>
          <w:bCs/>
          <w:color w:val="auto"/>
          <w:sz w:val="24"/>
          <w:szCs w:val="28"/>
          <w:lang w:eastAsia="zh-CN"/>
        </w:rPr>
        <w:t>、</w:t>
      </w:r>
      <w:r>
        <w:rPr>
          <w:rFonts w:hint="eastAsia" w:ascii="宋体" w:hAnsi="宋体" w:eastAsia="宋体" w:cs="Times New Roman"/>
          <w:bCs/>
          <w:color w:val="auto"/>
          <w:sz w:val="24"/>
          <w:szCs w:val="28"/>
        </w:rPr>
        <w:t>时</w:t>
      </w:r>
      <w:r>
        <w:rPr>
          <w:rFonts w:hint="eastAsia" w:ascii="宋体" w:hAnsi="宋体" w:eastAsia="宋体" w:cs="Times New Roman"/>
          <w:bCs/>
          <w:color w:val="auto"/>
          <w:sz w:val="24"/>
          <w:szCs w:val="28"/>
          <w:highlight w:val="none"/>
        </w:rPr>
        <w:t>间：</w:t>
      </w:r>
      <w:r>
        <w:rPr>
          <w:rFonts w:hint="eastAsia" w:ascii="宋体" w:hAnsi="宋体" w:eastAsia="宋体" w:cs="Times New Roman"/>
          <w:bCs/>
          <w:color w:val="auto"/>
          <w:sz w:val="24"/>
          <w:szCs w:val="28"/>
          <w:highlight w:val="none"/>
          <w:lang w:eastAsia="zh-CN"/>
        </w:rPr>
        <w:t>2024年</w:t>
      </w:r>
      <w:r>
        <w:rPr>
          <w:rFonts w:hint="eastAsia" w:ascii="宋体" w:hAnsi="宋体" w:cs="Times New Roman"/>
          <w:bCs/>
          <w:color w:val="auto"/>
          <w:sz w:val="24"/>
          <w:szCs w:val="28"/>
          <w:highlight w:val="none"/>
          <w:lang w:val="en-US" w:eastAsia="zh-CN"/>
        </w:rPr>
        <w:t>11</w:t>
      </w:r>
      <w:r>
        <w:rPr>
          <w:rFonts w:hint="eastAsia" w:ascii="宋体" w:hAnsi="宋体" w:eastAsia="宋体" w:cs="Times New Roman"/>
          <w:bCs/>
          <w:color w:val="auto"/>
          <w:sz w:val="24"/>
          <w:szCs w:val="28"/>
          <w:highlight w:val="none"/>
          <w:lang w:eastAsia="zh-CN"/>
        </w:rPr>
        <w:t>月</w:t>
      </w:r>
      <w:r>
        <w:rPr>
          <w:rFonts w:hint="eastAsia" w:ascii="宋体" w:hAnsi="宋体" w:cs="Times New Roman"/>
          <w:bCs/>
          <w:color w:val="auto"/>
          <w:sz w:val="24"/>
          <w:szCs w:val="28"/>
          <w:highlight w:val="none"/>
          <w:lang w:val="en-US" w:eastAsia="zh-CN"/>
        </w:rPr>
        <w:t>28</w:t>
      </w:r>
      <w:r>
        <w:rPr>
          <w:rFonts w:hint="eastAsia" w:ascii="宋体" w:hAnsi="宋体" w:eastAsia="宋体" w:cs="Times New Roman"/>
          <w:bCs/>
          <w:color w:val="auto"/>
          <w:sz w:val="24"/>
          <w:szCs w:val="28"/>
          <w:highlight w:val="none"/>
          <w:lang w:eastAsia="zh-CN"/>
        </w:rPr>
        <w:t>日</w:t>
      </w:r>
      <w:r>
        <w:rPr>
          <w:rFonts w:hint="eastAsia" w:ascii="宋体" w:hAnsi="宋体" w:eastAsia="宋体" w:cs="Times New Roman"/>
          <w:bCs/>
          <w:color w:val="auto"/>
          <w:sz w:val="24"/>
          <w:szCs w:val="28"/>
          <w:highlight w:val="none"/>
        </w:rPr>
        <w:t>09</w:t>
      </w:r>
      <w:r>
        <w:rPr>
          <w:rFonts w:hint="eastAsia" w:ascii="宋体" w:hAnsi="宋体" w:eastAsia="宋体" w:cs="Times New Roman"/>
          <w:bCs/>
          <w:color w:val="auto"/>
          <w:sz w:val="24"/>
          <w:szCs w:val="28"/>
          <w:highlight w:val="none"/>
          <w:lang w:val="en-US" w:eastAsia="zh-CN"/>
        </w:rPr>
        <w:t>时3</w:t>
      </w:r>
      <w:r>
        <w:rPr>
          <w:rFonts w:hint="eastAsia" w:ascii="宋体" w:hAnsi="宋体" w:eastAsia="宋体" w:cs="Times New Roman"/>
          <w:bCs/>
          <w:color w:val="auto"/>
          <w:sz w:val="24"/>
          <w:szCs w:val="28"/>
          <w:highlight w:val="none"/>
        </w:rPr>
        <w:t>0分（北京时间）</w:t>
      </w:r>
    </w:p>
    <w:p w14:paraId="0E0588D2">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宋体" w:hAnsi="宋体" w:eastAsia="宋体" w:cs="Times New Roman"/>
          <w:bCs/>
          <w:color w:val="auto"/>
          <w:sz w:val="24"/>
          <w:szCs w:val="28"/>
        </w:rPr>
      </w:pPr>
      <w:r>
        <w:rPr>
          <w:rFonts w:hint="eastAsia" w:ascii="宋体" w:hAnsi="宋体" w:eastAsia="宋体" w:cs="Times New Roman"/>
          <w:bCs/>
          <w:color w:val="auto"/>
          <w:sz w:val="24"/>
          <w:szCs w:val="28"/>
        </w:rPr>
        <w:t>2</w:t>
      </w:r>
      <w:r>
        <w:rPr>
          <w:rFonts w:hint="eastAsia" w:ascii="宋体" w:hAnsi="宋体" w:cs="Times New Roman"/>
          <w:bCs/>
          <w:color w:val="auto"/>
          <w:sz w:val="24"/>
          <w:szCs w:val="28"/>
          <w:lang w:eastAsia="zh-CN"/>
        </w:rPr>
        <w:t>、</w:t>
      </w:r>
      <w:r>
        <w:rPr>
          <w:rFonts w:hint="eastAsia" w:ascii="宋体" w:hAnsi="宋体" w:eastAsia="宋体" w:cs="Times New Roman"/>
          <w:bCs/>
          <w:color w:val="auto"/>
          <w:sz w:val="24"/>
          <w:szCs w:val="28"/>
        </w:rPr>
        <w:t>地点：本项目采用“不见面”网上开标方式，请</w:t>
      </w:r>
      <w:r>
        <w:rPr>
          <w:rFonts w:hint="eastAsia" w:ascii="宋体" w:hAnsi="宋体" w:eastAsia="宋体" w:cs="Times New Roman"/>
          <w:bCs/>
          <w:color w:val="auto"/>
          <w:sz w:val="24"/>
          <w:szCs w:val="28"/>
          <w:lang w:eastAsia="zh-CN"/>
        </w:rPr>
        <w:t>投标人</w:t>
      </w:r>
      <w:r>
        <w:rPr>
          <w:rFonts w:hint="eastAsia" w:ascii="宋体" w:hAnsi="宋体" w:eastAsia="宋体" w:cs="Times New Roman"/>
          <w:bCs/>
          <w:color w:val="auto"/>
          <w:sz w:val="24"/>
          <w:szCs w:val="28"/>
        </w:rPr>
        <w:t>使用CA数字证书登录《全国公共资源交易平台（河南省·许昌市）》——点击“平台导航”下方左侧的“网上开标大厅”（或者直接访问：http://117.159.53.11:60632/BidOpening/bidhall/default/login）进入不见面大厅登录页面——选择“投标人”身份，使用CA数字证书登录——在“今日开标项目”中找到已投标的项目——点击该项目即可进入开标操作界面，在规定的开标时间内进行解密开标。</w:t>
      </w:r>
    </w:p>
    <w:p w14:paraId="5C6AAA23">
      <w:pPr>
        <w:keepNext w:val="0"/>
        <w:keepLines w:val="0"/>
        <w:pageBreakBefore w:val="0"/>
        <w:widowControl w:val="0"/>
        <w:kinsoku/>
        <w:wordWrap/>
        <w:overflowPunct/>
        <w:topLinePunct w:val="0"/>
        <w:autoSpaceDE/>
        <w:autoSpaceDN/>
        <w:bidi w:val="0"/>
        <w:adjustRightInd w:val="0"/>
        <w:snapToGrid w:val="0"/>
        <w:spacing w:line="420" w:lineRule="auto"/>
        <w:jc w:val="left"/>
        <w:textAlignment w:val="auto"/>
        <w:rPr>
          <w:rFonts w:ascii="宋体" w:hAnsi="宋体" w:eastAsia="宋体" w:cs="Cambria"/>
          <w:b/>
          <w:color w:val="auto"/>
          <w:sz w:val="24"/>
          <w:szCs w:val="28"/>
        </w:rPr>
      </w:pPr>
      <w:r>
        <w:rPr>
          <w:rFonts w:hint="eastAsia" w:ascii="宋体" w:hAnsi="宋体" w:eastAsia="宋体" w:cs="Cambria"/>
          <w:b/>
          <w:color w:val="auto"/>
          <w:sz w:val="24"/>
          <w:szCs w:val="28"/>
        </w:rPr>
        <w:t>六</w:t>
      </w:r>
      <w:r>
        <w:rPr>
          <w:rFonts w:ascii="宋体" w:hAnsi="宋体" w:eastAsia="宋体" w:cs="Cambria"/>
          <w:b/>
          <w:color w:val="auto"/>
          <w:sz w:val="24"/>
          <w:szCs w:val="28"/>
        </w:rPr>
        <w:t>、</w:t>
      </w:r>
      <w:r>
        <w:rPr>
          <w:rFonts w:hint="eastAsia" w:ascii="宋体" w:hAnsi="宋体" w:eastAsia="宋体" w:cs="Cambria"/>
          <w:b/>
          <w:color w:val="auto"/>
          <w:sz w:val="24"/>
          <w:szCs w:val="28"/>
        </w:rPr>
        <w:t>发布公告的媒介及招标公告期限</w:t>
      </w:r>
    </w:p>
    <w:p w14:paraId="31AAD298">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ascii="宋体" w:hAnsi="宋体"/>
          <w:bCs/>
          <w:color w:val="auto"/>
          <w:sz w:val="24"/>
          <w:szCs w:val="28"/>
        </w:rPr>
      </w:pPr>
      <w:r>
        <w:rPr>
          <w:rFonts w:hint="eastAsia" w:ascii="宋体" w:hAnsi="宋体"/>
          <w:bCs/>
          <w:color w:val="auto"/>
          <w:sz w:val="24"/>
          <w:szCs w:val="28"/>
        </w:rPr>
        <w:t>本次招标公告在《河南省政府采购网》</w:t>
      </w:r>
      <w:r>
        <w:rPr>
          <w:rFonts w:hint="eastAsia" w:ascii="宋体" w:hAnsi="宋体" w:cs="宋体"/>
          <w:color w:val="auto"/>
          <w:sz w:val="24"/>
          <w:szCs w:val="24"/>
        </w:rPr>
        <w:t>《中国政府采购网》</w:t>
      </w:r>
      <w:r>
        <w:rPr>
          <w:rFonts w:hint="eastAsia" w:ascii="宋体" w:hAnsi="宋体"/>
          <w:bCs/>
          <w:color w:val="auto"/>
          <w:sz w:val="24"/>
          <w:szCs w:val="28"/>
        </w:rPr>
        <w:t>《许昌市政府采购网》《全国公共资源交易平台（河南省·许昌市）》</w:t>
      </w:r>
      <w:r>
        <w:rPr>
          <w:rFonts w:hint="eastAsia" w:ascii="宋体" w:hAnsi="宋体"/>
          <w:bCs/>
          <w:color w:val="auto"/>
          <w:sz w:val="24"/>
          <w:szCs w:val="28"/>
          <w:highlight w:val="none"/>
        </w:rPr>
        <w:t>《许昌市建安区人民政府网》</w:t>
      </w:r>
      <w:r>
        <w:rPr>
          <w:rFonts w:hint="eastAsia" w:ascii="宋体" w:hAnsi="宋体"/>
          <w:bCs/>
          <w:color w:val="auto"/>
          <w:sz w:val="24"/>
          <w:szCs w:val="28"/>
        </w:rPr>
        <w:t>上发布，招标公告期限为五个工作日。</w:t>
      </w:r>
      <w:bookmarkStart w:id="17" w:name="_Toc35393626"/>
      <w:bookmarkStart w:id="18" w:name="_Toc35393795"/>
    </w:p>
    <w:p w14:paraId="4A33489E">
      <w:pPr>
        <w:keepNext w:val="0"/>
        <w:keepLines w:val="0"/>
        <w:pageBreakBefore w:val="0"/>
        <w:widowControl w:val="0"/>
        <w:kinsoku/>
        <w:wordWrap/>
        <w:overflowPunct/>
        <w:topLinePunct w:val="0"/>
        <w:autoSpaceDE/>
        <w:autoSpaceDN/>
        <w:bidi w:val="0"/>
        <w:adjustRightInd w:val="0"/>
        <w:snapToGrid w:val="0"/>
        <w:spacing w:line="420" w:lineRule="auto"/>
        <w:jc w:val="left"/>
        <w:textAlignment w:val="auto"/>
        <w:rPr>
          <w:rFonts w:ascii="宋体" w:hAnsi="宋体"/>
          <w:b/>
          <w:bCs/>
          <w:color w:val="auto"/>
          <w:sz w:val="24"/>
          <w:szCs w:val="28"/>
        </w:rPr>
      </w:pPr>
      <w:r>
        <w:rPr>
          <w:rFonts w:hint="eastAsia" w:ascii="宋体" w:hAnsi="宋体"/>
          <w:b/>
          <w:bCs/>
          <w:color w:val="auto"/>
          <w:sz w:val="24"/>
          <w:szCs w:val="28"/>
        </w:rPr>
        <w:t>七</w:t>
      </w:r>
      <w:r>
        <w:rPr>
          <w:rFonts w:ascii="宋体" w:hAnsi="宋体"/>
          <w:b/>
          <w:bCs/>
          <w:color w:val="auto"/>
          <w:sz w:val="24"/>
          <w:szCs w:val="28"/>
        </w:rPr>
        <w:t>、其它补充事宜</w:t>
      </w:r>
    </w:p>
    <w:bookmarkEnd w:id="17"/>
    <w:bookmarkEnd w:id="18"/>
    <w:p w14:paraId="7EBECB26">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宋体" w:hAnsi="宋体" w:eastAsia="宋体" w:cs="宋体"/>
          <w:color w:val="auto"/>
          <w:sz w:val="24"/>
          <w:szCs w:val="24"/>
          <w:lang w:val="en-US"/>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rPr>
        <w:t>本项目采用远程“不见面”开标方式，投标前请详细阅读《全国公共资源交易平台（河南省·许昌市）》（http://117.159.53.11:60632/）“服务指南”——“办事指南”栏目下《新交易平台使用手册》中的相关内容。</w:t>
      </w:r>
    </w:p>
    <w:p w14:paraId="1E24215C">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宋体" w:hAnsi="宋体" w:eastAsia="宋体" w:cs="宋体"/>
          <w:color w:val="auto"/>
          <w:sz w:val="24"/>
          <w:szCs w:val="24"/>
          <w:lang w:val="en-US"/>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val="en-US"/>
        </w:rPr>
        <w:t>在电子系统使用过程中遇到涉及系统使用的问题，可致电</w:t>
      </w:r>
      <w:r>
        <w:rPr>
          <w:rFonts w:hint="eastAsia" w:ascii="宋体" w:hAnsi="宋体" w:eastAsia="宋体" w:cs="宋体"/>
          <w:color w:val="auto"/>
          <w:sz w:val="24"/>
          <w:szCs w:val="24"/>
          <w:lang w:val="en-US" w:eastAsia="zh-CN"/>
        </w:rPr>
        <w:t>0374-2961598</w:t>
      </w:r>
      <w:r>
        <w:rPr>
          <w:rFonts w:hint="eastAsia" w:ascii="宋体" w:hAnsi="宋体" w:eastAsia="宋体" w:cs="宋体"/>
          <w:color w:val="auto"/>
          <w:sz w:val="24"/>
          <w:szCs w:val="24"/>
          <w:lang w:val="en-US"/>
        </w:rPr>
        <w:t>进行咨询。</w:t>
      </w:r>
    </w:p>
    <w:p w14:paraId="7E99AE9E">
      <w:pPr>
        <w:keepNext w:val="0"/>
        <w:keepLines w:val="0"/>
        <w:pageBreakBefore w:val="0"/>
        <w:widowControl w:val="0"/>
        <w:kinsoku/>
        <w:wordWrap/>
        <w:overflowPunct/>
        <w:topLinePunct w:val="0"/>
        <w:autoSpaceDE/>
        <w:autoSpaceDN/>
        <w:bidi w:val="0"/>
        <w:adjustRightInd w:val="0"/>
        <w:snapToGrid w:val="0"/>
        <w:spacing w:line="420" w:lineRule="auto"/>
        <w:ind w:left="-420" w:leftChars="-200" w:firstLine="422" w:firstLineChars="175"/>
        <w:jc w:val="left"/>
        <w:textAlignment w:val="auto"/>
        <w:rPr>
          <w:rFonts w:ascii="宋体" w:hAnsi="宋体"/>
          <w:b/>
          <w:bCs/>
          <w:color w:val="auto"/>
          <w:sz w:val="24"/>
          <w:szCs w:val="28"/>
        </w:rPr>
      </w:pPr>
      <w:r>
        <w:rPr>
          <w:rFonts w:hint="eastAsia" w:ascii="宋体" w:hAnsi="宋体"/>
          <w:b/>
          <w:bCs/>
          <w:color w:val="auto"/>
          <w:sz w:val="24"/>
          <w:szCs w:val="28"/>
        </w:rPr>
        <w:t>八</w:t>
      </w:r>
      <w:r>
        <w:rPr>
          <w:rFonts w:ascii="宋体" w:hAnsi="宋体"/>
          <w:b/>
          <w:bCs/>
          <w:color w:val="auto"/>
          <w:sz w:val="24"/>
          <w:szCs w:val="28"/>
        </w:rPr>
        <w:t>、对本次准备提出询问，请按以下方式联系。</w:t>
      </w:r>
    </w:p>
    <w:p w14:paraId="503D286C">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ascii="宋体" w:hAnsi="宋体"/>
          <w:color w:val="auto"/>
          <w:sz w:val="24"/>
          <w:szCs w:val="28"/>
        </w:rPr>
      </w:pPr>
      <w:r>
        <w:rPr>
          <w:rFonts w:hint="eastAsia" w:ascii="宋体" w:hAnsi="宋体" w:cs="Cambria"/>
          <w:color w:val="auto"/>
          <w:sz w:val="24"/>
          <w:szCs w:val="28"/>
        </w:rPr>
        <w:t>1</w:t>
      </w:r>
      <w:r>
        <w:rPr>
          <w:rFonts w:hint="eastAsia" w:ascii="宋体" w:hAnsi="宋体" w:cs="Cambria"/>
          <w:color w:val="auto"/>
          <w:sz w:val="24"/>
          <w:szCs w:val="28"/>
          <w:lang w:eastAsia="zh-CN"/>
        </w:rPr>
        <w:t>、</w:t>
      </w:r>
      <w:r>
        <w:rPr>
          <w:rFonts w:hint="eastAsia" w:ascii="宋体" w:hAnsi="宋体" w:cs="Cambria"/>
          <w:color w:val="auto"/>
          <w:sz w:val="24"/>
          <w:szCs w:val="28"/>
        </w:rPr>
        <w:t>采购人信息</w:t>
      </w:r>
    </w:p>
    <w:p w14:paraId="77E25DD2">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ascii="宋体" w:hAnsi="宋体"/>
          <w:color w:val="auto"/>
          <w:sz w:val="24"/>
          <w:szCs w:val="28"/>
          <w:lang w:val="zh-CN"/>
        </w:rPr>
      </w:pPr>
      <w:r>
        <w:rPr>
          <w:rFonts w:hint="eastAsia" w:ascii="宋体" w:hAnsi="宋体"/>
          <w:color w:val="auto"/>
          <w:sz w:val="24"/>
          <w:szCs w:val="28"/>
        </w:rPr>
        <w:t>名称：</w:t>
      </w:r>
      <w:r>
        <w:rPr>
          <w:rFonts w:hint="eastAsia" w:ascii="宋体" w:hAnsi="宋体"/>
          <w:color w:val="auto"/>
          <w:sz w:val="24"/>
          <w:szCs w:val="28"/>
          <w:lang w:val="zh-CN"/>
        </w:rPr>
        <w:t>许昌市建安区水利局</w:t>
      </w:r>
    </w:p>
    <w:p w14:paraId="03F81823">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ascii="宋体" w:hAnsi="宋体"/>
          <w:color w:val="auto"/>
          <w:sz w:val="24"/>
          <w:szCs w:val="28"/>
          <w:lang w:val="zh-CN"/>
        </w:rPr>
      </w:pPr>
      <w:r>
        <w:rPr>
          <w:rFonts w:hint="eastAsia" w:ascii="宋体" w:hAnsi="宋体"/>
          <w:color w:val="auto"/>
          <w:sz w:val="24"/>
          <w:szCs w:val="28"/>
          <w:lang w:val="zh-CN"/>
        </w:rPr>
        <w:t>地址：许昌市建安区兴业大厦</w:t>
      </w:r>
      <w:r>
        <w:rPr>
          <w:rFonts w:hint="eastAsia" w:ascii="宋体" w:hAnsi="宋体"/>
          <w:color w:val="auto"/>
          <w:sz w:val="24"/>
          <w:szCs w:val="28"/>
          <w:lang w:val="en-US" w:eastAsia="zh-CN"/>
        </w:rPr>
        <w:t>3</w:t>
      </w:r>
      <w:r>
        <w:rPr>
          <w:rFonts w:hint="eastAsia" w:ascii="宋体" w:hAnsi="宋体"/>
          <w:color w:val="auto"/>
          <w:sz w:val="24"/>
          <w:szCs w:val="28"/>
          <w:lang w:val="zh-CN"/>
        </w:rPr>
        <w:t>楼</w:t>
      </w:r>
    </w:p>
    <w:p w14:paraId="76279A56">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宋体" w:hAnsi="宋体" w:eastAsia="宋体"/>
          <w:color w:val="auto"/>
          <w:sz w:val="24"/>
          <w:szCs w:val="28"/>
          <w:lang w:val="zh-CN" w:eastAsia="zh-CN"/>
        </w:rPr>
      </w:pPr>
      <w:r>
        <w:rPr>
          <w:rFonts w:hint="eastAsia" w:ascii="宋体" w:hAnsi="宋体"/>
          <w:color w:val="auto"/>
          <w:sz w:val="24"/>
          <w:szCs w:val="28"/>
        </w:rPr>
        <w:t>联系人：</w:t>
      </w:r>
      <w:r>
        <w:rPr>
          <w:rFonts w:hint="eastAsia" w:ascii="宋体" w:hAnsi="宋体"/>
          <w:color w:val="auto"/>
          <w:sz w:val="24"/>
          <w:szCs w:val="28"/>
          <w:lang w:eastAsia="zh-CN"/>
        </w:rPr>
        <w:t>王志勇</w:t>
      </w:r>
    </w:p>
    <w:p w14:paraId="7E2AE491">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default" w:ascii="宋体" w:hAnsi="宋体" w:eastAsia="宋体"/>
          <w:color w:val="auto"/>
          <w:sz w:val="24"/>
          <w:szCs w:val="28"/>
          <w:lang w:val="en-US" w:eastAsia="zh-CN"/>
        </w:rPr>
      </w:pPr>
      <w:r>
        <w:rPr>
          <w:rFonts w:hint="eastAsia" w:ascii="宋体" w:hAnsi="宋体"/>
          <w:color w:val="auto"/>
          <w:sz w:val="24"/>
          <w:szCs w:val="28"/>
        </w:rPr>
        <w:t>联系方式：</w:t>
      </w:r>
      <w:bookmarkStart w:id="19" w:name="_Toc28359009"/>
      <w:bookmarkStart w:id="20" w:name="_Toc28359086"/>
      <w:r>
        <w:rPr>
          <w:rFonts w:hint="eastAsia" w:ascii="宋体" w:hAnsi="宋体"/>
          <w:color w:val="auto"/>
          <w:sz w:val="24"/>
          <w:szCs w:val="28"/>
          <w:lang w:val="en-US" w:eastAsia="zh-CN"/>
        </w:rPr>
        <w:t>15038900259</w:t>
      </w:r>
    </w:p>
    <w:p w14:paraId="712DA20D">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ascii="宋体" w:hAnsi="宋体"/>
          <w:color w:val="auto"/>
          <w:sz w:val="24"/>
          <w:szCs w:val="28"/>
          <w:lang w:val="zh-CN"/>
        </w:rPr>
      </w:pPr>
      <w:r>
        <w:rPr>
          <w:rFonts w:hint="eastAsia" w:ascii="宋体" w:hAnsi="宋体"/>
          <w:color w:val="auto"/>
          <w:sz w:val="24"/>
          <w:szCs w:val="28"/>
          <w:lang w:val="zh-CN"/>
        </w:rPr>
        <w:t>2、采购代理机构信息</w:t>
      </w:r>
      <w:bookmarkEnd w:id="19"/>
      <w:bookmarkEnd w:id="20"/>
      <w:r>
        <w:rPr>
          <w:rFonts w:hint="eastAsia" w:ascii="宋体" w:hAnsi="宋体"/>
          <w:color w:val="auto"/>
          <w:sz w:val="24"/>
          <w:szCs w:val="28"/>
          <w:lang w:val="zh-CN"/>
        </w:rPr>
        <w:t>（</w:t>
      </w:r>
      <w:r>
        <w:rPr>
          <w:rFonts w:ascii="宋体" w:hAnsi="宋体"/>
          <w:color w:val="auto"/>
          <w:sz w:val="24"/>
          <w:szCs w:val="28"/>
          <w:lang w:val="zh-CN"/>
        </w:rPr>
        <w:t>如有</w:t>
      </w:r>
      <w:r>
        <w:rPr>
          <w:rFonts w:hint="eastAsia" w:ascii="宋体" w:hAnsi="宋体"/>
          <w:color w:val="auto"/>
          <w:sz w:val="24"/>
          <w:szCs w:val="28"/>
          <w:lang w:val="zh-CN"/>
        </w:rPr>
        <w:t>）</w:t>
      </w:r>
    </w:p>
    <w:p w14:paraId="7D63136A">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宋体" w:hAnsi="宋体" w:eastAsia="宋体"/>
          <w:color w:val="auto"/>
          <w:sz w:val="24"/>
          <w:szCs w:val="28"/>
          <w:lang w:eastAsia="zh-CN"/>
        </w:rPr>
      </w:pPr>
      <w:bookmarkStart w:id="21" w:name="_Toc28359010"/>
      <w:bookmarkStart w:id="22" w:name="_Toc28359087"/>
      <w:r>
        <w:rPr>
          <w:rFonts w:hint="eastAsia" w:ascii="宋体" w:hAnsi="宋体"/>
          <w:color w:val="auto"/>
          <w:sz w:val="24"/>
          <w:szCs w:val="28"/>
        </w:rPr>
        <w:t>名称：</w:t>
      </w:r>
      <w:r>
        <w:rPr>
          <w:rFonts w:hint="eastAsia" w:ascii="宋体" w:hAnsi="宋体"/>
          <w:color w:val="auto"/>
          <w:sz w:val="24"/>
          <w:szCs w:val="28"/>
          <w:lang w:eastAsia="zh-CN"/>
        </w:rPr>
        <w:t xml:space="preserve">河南招标采购服务有限公司 </w:t>
      </w:r>
    </w:p>
    <w:p w14:paraId="59EBEAE6">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default" w:ascii="宋体" w:hAnsi="宋体" w:eastAsia="宋体"/>
          <w:color w:val="auto"/>
          <w:sz w:val="24"/>
          <w:szCs w:val="28"/>
          <w:lang w:val="en-US" w:eastAsia="zh-CN"/>
        </w:rPr>
      </w:pPr>
      <w:r>
        <w:rPr>
          <w:rFonts w:hint="eastAsia" w:ascii="宋体" w:hAnsi="宋体"/>
          <w:color w:val="auto"/>
          <w:sz w:val="24"/>
          <w:szCs w:val="28"/>
        </w:rPr>
        <w:t>地址：</w:t>
      </w:r>
      <w:r>
        <w:rPr>
          <w:rFonts w:hint="eastAsia" w:ascii="宋体" w:hAnsi="宋体"/>
          <w:color w:val="auto"/>
          <w:sz w:val="24"/>
          <w:szCs w:val="28"/>
          <w:lang w:val="en-US" w:eastAsia="zh-CN"/>
        </w:rPr>
        <w:t>郑州市金水区纬四路13号</w:t>
      </w:r>
    </w:p>
    <w:p w14:paraId="71963FCA">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宋体" w:hAnsi="宋体" w:eastAsia="宋体"/>
          <w:color w:val="auto"/>
          <w:sz w:val="24"/>
          <w:szCs w:val="28"/>
          <w:lang w:eastAsia="zh-CN"/>
        </w:rPr>
      </w:pPr>
      <w:r>
        <w:rPr>
          <w:rFonts w:hint="eastAsia" w:ascii="宋体" w:hAnsi="宋体"/>
          <w:color w:val="auto"/>
          <w:sz w:val="24"/>
          <w:szCs w:val="28"/>
        </w:rPr>
        <w:t>联系人：</w:t>
      </w:r>
      <w:r>
        <w:rPr>
          <w:rFonts w:hint="eastAsia" w:ascii="宋体" w:hAnsi="宋体"/>
          <w:color w:val="auto"/>
          <w:sz w:val="24"/>
          <w:szCs w:val="28"/>
          <w:lang w:val="en-US" w:eastAsia="zh-CN"/>
        </w:rPr>
        <w:t>刘宝丰</w:t>
      </w:r>
    </w:p>
    <w:p w14:paraId="0E093CC4">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default" w:ascii="宋体" w:hAnsi="宋体" w:eastAsia="宋体"/>
          <w:color w:val="auto"/>
          <w:sz w:val="24"/>
          <w:szCs w:val="28"/>
          <w:lang w:val="en-US" w:eastAsia="zh-CN"/>
        </w:rPr>
      </w:pPr>
      <w:r>
        <w:rPr>
          <w:rFonts w:hint="eastAsia" w:ascii="宋体" w:hAnsi="宋体"/>
          <w:color w:val="auto"/>
          <w:sz w:val="24"/>
          <w:szCs w:val="28"/>
        </w:rPr>
        <w:t>联系方式：</w:t>
      </w:r>
      <w:r>
        <w:rPr>
          <w:rFonts w:hint="eastAsia" w:ascii="宋体" w:hAnsi="宋体"/>
          <w:bCs/>
          <w:color w:val="auto"/>
          <w:sz w:val="24"/>
          <w:szCs w:val="24"/>
          <w:lang w:val="en-US" w:eastAsia="zh-CN"/>
        </w:rPr>
        <w:t>13937120256</w:t>
      </w:r>
    </w:p>
    <w:p w14:paraId="1D3CAFB5">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ascii="宋体" w:hAnsi="宋体"/>
          <w:color w:val="auto"/>
          <w:sz w:val="24"/>
          <w:szCs w:val="28"/>
        </w:rPr>
      </w:pPr>
      <w:r>
        <w:rPr>
          <w:rFonts w:hint="eastAsia" w:ascii="宋体" w:hAnsi="宋体" w:cs="Cambria"/>
          <w:color w:val="auto"/>
          <w:sz w:val="24"/>
          <w:szCs w:val="28"/>
        </w:rPr>
        <w:t>3</w:t>
      </w:r>
      <w:r>
        <w:rPr>
          <w:rFonts w:hint="eastAsia" w:ascii="宋体" w:hAnsi="宋体" w:cs="Cambria"/>
          <w:color w:val="auto"/>
          <w:sz w:val="24"/>
          <w:szCs w:val="28"/>
          <w:lang w:eastAsia="zh-CN"/>
        </w:rPr>
        <w:t>、</w:t>
      </w:r>
      <w:r>
        <w:rPr>
          <w:rFonts w:hint="eastAsia" w:ascii="宋体" w:hAnsi="宋体" w:cs="Cambria"/>
          <w:color w:val="auto"/>
          <w:sz w:val="24"/>
          <w:szCs w:val="28"/>
        </w:rPr>
        <w:t>项目联系方式</w:t>
      </w:r>
      <w:bookmarkEnd w:id="21"/>
      <w:bookmarkEnd w:id="22"/>
    </w:p>
    <w:p w14:paraId="14A8A0BA">
      <w:pPr>
        <w:pStyle w:val="24"/>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ascii="宋体" w:hAnsi="宋体"/>
          <w:color w:val="auto"/>
          <w:sz w:val="24"/>
          <w:szCs w:val="28"/>
        </w:rPr>
      </w:pPr>
      <w:r>
        <w:rPr>
          <w:rFonts w:hint="eastAsia" w:ascii="宋体" w:hAnsi="宋体"/>
          <w:color w:val="auto"/>
          <w:sz w:val="24"/>
          <w:szCs w:val="28"/>
        </w:rPr>
        <w:t>项目联系人：</w:t>
      </w:r>
      <w:r>
        <w:rPr>
          <w:rFonts w:hint="eastAsia" w:ascii="宋体" w:hAnsi="宋体"/>
          <w:color w:val="auto"/>
          <w:sz w:val="24"/>
          <w:szCs w:val="28"/>
          <w:lang w:val="en-US" w:eastAsia="zh-CN"/>
        </w:rPr>
        <w:t>刘宝丰</w:t>
      </w:r>
    </w:p>
    <w:p w14:paraId="7CC982D0">
      <w:pPr>
        <w:pStyle w:val="24"/>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宋体" w:hAnsi="宋体" w:eastAsia="宋体" w:cs="仿宋_GB2312"/>
          <w:color w:val="auto"/>
          <w:sz w:val="24"/>
          <w:szCs w:val="28"/>
          <w:lang w:val="zh-CN" w:eastAsia="zh-CN"/>
        </w:rPr>
      </w:pPr>
      <w:r>
        <w:rPr>
          <w:rFonts w:hint="eastAsia" w:ascii="宋体" w:hAnsi="宋体"/>
          <w:color w:val="auto"/>
          <w:sz w:val="24"/>
          <w:szCs w:val="28"/>
        </w:rPr>
        <w:t>联系方式：</w:t>
      </w:r>
      <w:r>
        <w:rPr>
          <w:rFonts w:hint="eastAsia" w:ascii="宋体" w:hAnsi="宋体"/>
          <w:bCs/>
          <w:color w:val="auto"/>
          <w:sz w:val="24"/>
          <w:szCs w:val="24"/>
          <w:lang w:val="en-US" w:eastAsia="zh-CN"/>
        </w:rPr>
        <w:t>13937120256</w:t>
      </w:r>
    </w:p>
    <w:p w14:paraId="0E638E76">
      <w:pPr>
        <w:keepNext w:val="0"/>
        <w:keepLines w:val="0"/>
        <w:pageBreakBefore w:val="0"/>
        <w:widowControl w:val="0"/>
        <w:kinsoku/>
        <w:wordWrap/>
        <w:overflowPunct/>
        <w:topLinePunct w:val="0"/>
        <w:autoSpaceDE/>
        <w:autoSpaceDN/>
        <w:bidi w:val="0"/>
        <w:spacing w:line="420" w:lineRule="auto"/>
        <w:jc w:val="right"/>
        <w:textAlignment w:val="auto"/>
        <w:rPr>
          <w:rFonts w:ascii="宋体" w:hAnsi="宋体" w:cs="仿宋_GB2312"/>
          <w:color w:val="auto"/>
          <w:sz w:val="24"/>
          <w:szCs w:val="28"/>
          <w:lang w:val="zh-CN"/>
        </w:rPr>
      </w:pPr>
      <w:r>
        <w:rPr>
          <w:rFonts w:hint="eastAsia" w:ascii="宋体" w:hAnsi="宋体" w:cs="仿宋_GB2312"/>
          <w:color w:val="auto"/>
          <w:sz w:val="24"/>
          <w:szCs w:val="28"/>
          <w:lang w:val="zh-CN"/>
        </w:rPr>
        <w:t>许昌市建安区水利局</w:t>
      </w:r>
    </w:p>
    <w:p w14:paraId="5B782BC8">
      <w:pPr>
        <w:keepNext w:val="0"/>
        <w:keepLines w:val="0"/>
        <w:pageBreakBefore w:val="0"/>
        <w:widowControl w:val="0"/>
        <w:kinsoku/>
        <w:wordWrap/>
        <w:overflowPunct/>
        <w:topLinePunct w:val="0"/>
        <w:autoSpaceDE/>
        <w:autoSpaceDN/>
        <w:bidi w:val="0"/>
        <w:adjustRightInd/>
        <w:snapToGrid/>
        <w:spacing w:line="420" w:lineRule="auto"/>
        <w:ind w:right="0"/>
        <w:jc w:val="right"/>
        <w:textAlignment w:val="auto"/>
        <w:rPr>
          <w:rFonts w:ascii="宋体" w:hAnsi="宋体" w:cs="仿宋_GB2312"/>
          <w:color w:val="auto"/>
          <w:sz w:val="24"/>
          <w:szCs w:val="28"/>
          <w:highlight w:val="none"/>
        </w:rPr>
      </w:pPr>
      <w:r>
        <w:rPr>
          <w:rFonts w:hint="eastAsia" w:ascii="宋体" w:hAnsi="宋体" w:cs="仿宋_GB2312"/>
          <w:color w:val="auto"/>
          <w:sz w:val="24"/>
          <w:szCs w:val="28"/>
          <w:highlight w:val="none"/>
        </w:rPr>
        <w:t>202</w:t>
      </w:r>
      <w:r>
        <w:rPr>
          <w:rFonts w:hint="eastAsia" w:ascii="宋体" w:hAnsi="宋体" w:cs="仿宋_GB2312"/>
          <w:color w:val="auto"/>
          <w:sz w:val="24"/>
          <w:szCs w:val="28"/>
          <w:highlight w:val="none"/>
          <w:lang w:val="en-US" w:eastAsia="zh-CN"/>
        </w:rPr>
        <w:t>4</w:t>
      </w:r>
      <w:r>
        <w:rPr>
          <w:rFonts w:hint="eastAsia" w:ascii="宋体" w:hAnsi="宋体" w:cs="仿宋_GB2312"/>
          <w:color w:val="auto"/>
          <w:sz w:val="24"/>
          <w:szCs w:val="28"/>
          <w:highlight w:val="none"/>
        </w:rPr>
        <w:t>年</w:t>
      </w:r>
      <w:r>
        <w:rPr>
          <w:rFonts w:hint="eastAsia" w:ascii="宋体" w:hAnsi="宋体" w:cs="仿宋_GB2312"/>
          <w:color w:val="auto"/>
          <w:sz w:val="24"/>
          <w:szCs w:val="28"/>
          <w:highlight w:val="none"/>
          <w:lang w:val="en-US" w:eastAsia="zh-CN"/>
        </w:rPr>
        <w:t>11</w:t>
      </w:r>
      <w:r>
        <w:rPr>
          <w:rFonts w:hint="eastAsia" w:ascii="宋体" w:hAnsi="宋体" w:cs="仿宋_GB2312"/>
          <w:color w:val="auto"/>
          <w:sz w:val="24"/>
          <w:szCs w:val="28"/>
          <w:highlight w:val="none"/>
        </w:rPr>
        <w:t>月</w:t>
      </w:r>
      <w:r>
        <w:rPr>
          <w:rFonts w:hint="eastAsia" w:ascii="宋体" w:hAnsi="宋体" w:cs="仿宋_GB2312"/>
          <w:color w:val="auto"/>
          <w:sz w:val="24"/>
          <w:szCs w:val="28"/>
          <w:highlight w:val="none"/>
          <w:lang w:val="en-US" w:eastAsia="zh-CN"/>
        </w:rPr>
        <w:t>5</w:t>
      </w:r>
      <w:r>
        <w:rPr>
          <w:rFonts w:hint="eastAsia" w:ascii="宋体" w:hAnsi="宋体" w:cs="仿宋_GB2312"/>
          <w:color w:val="auto"/>
          <w:sz w:val="24"/>
          <w:szCs w:val="28"/>
          <w:highlight w:val="none"/>
        </w:rPr>
        <w:t>日</w:t>
      </w:r>
    </w:p>
    <w:p w14:paraId="63C88E4F">
      <w:pPr>
        <w:keepNext w:val="0"/>
        <w:keepLines w:val="0"/>
        <w:pageBreakBefore w:val="0"/>
        <w:widowControl w:val="0"/>
        <w:kinsoku/>
        <w:wordWrap/>
        <w:overflowPunct/>
        <w:topLinePunct w:val="0"/>
        <w:autoSpaceDE/>
        <w:autoSpaceDN/>
        <w:bidi w:val="0"/>
        <w:adjustRightInd w:val="0"/>
        <w:spacing w:line="420" w:lineRule="auto"/>
        <w:jc w:val="left"/>
        <w:textAlignment w:val="auto"/>
        <w:rPr>
          <w:rFonts w:ascii="宋体" w:hAnsi="宋体" w:cs="宋体"/>
          <w:b/>
          <w:color w:val="auto"/>
          <w:sz w:val="24"/>
          <w:szCs w:val="24"/>
        </w:rPr>
      </w:pPr>
      <w:r>
        <w:rPr>
          <w:rFonts w:hint="eastAsia" w:ascii="宋体" w:hAnsi="宋体" w:cs="宋体"/>
          <w:b/>
          <w:color w:val="auto"/>
          <w:sz w:val="24"/>
          <w:szCs w:val="24"/>
        </w:rPr>
        <w:t>温馨提示：</w:t>
      </w:r>
    </w:p>
    <w:p w14:paraId="3F1FE175">
      <w:pPr>
        <w:keepNext w:val="0"/>
        <w:keepLines w:val="0"/>
        <w:pageBreakBefore w:val="0"/>
        <w:widowControl w:val="0"/>
        <w:kinsoku/>
        <w:wordWrap/>
        <w:overflowPunct/>
        <w:topLinePunct w:val="0"/>
        <w:autoSpaceDE/>
        <w:autoSpaceDN/>
        <w:bidi w:val="0"/>
        <w:adjustRightInd w:val="0"/>
        <w:spacing w:line="420" w:lineRule="auto"/>
        <w:ind w:firstLine="482" w:firstLineChars="200"/>
        <w:jc w:val="left"/>
        <w:textAlignment w:val="auto"/>
        <w:rPr>
          <w:rFonts w:ascii="宋体" w:hAnsi="宋体" w:cs="宋体"/>
          <w:b/>
          <w:color w:val="auto"/>
          <w:sz w:val="24"/>
          <w:szCs w:val="24"/>
        </w:rPr>
      </w:pPr>
      <w:r>
        <w:rPr>
          <w:rFonts w:hint="eastAsia" w:ascii="宋体" w:hAnsi="宋体" w:cs="宋体"/>
          <w:b/>
          <w:color w:val="auto"/>
          <w:sz w:val="24"/>
          <w:szCs w:val="24"/>
        </w:rPr>
        <w:t>本项目为全流程电子化交易项目，请认真阅读招标文件，并注意以下事项。</w:t>
      </w:r>
    </w:p>
    <w:p w14:paraId="0D594AAE">
      <w:pPr>
        <w:keepNext w:val="0"/>
        <w:keepLines w:val="0"/>
        <w:pageBreakBefore w:val="0"/>
        <w:widowControl w:val="0"/>
        <w:tabs>
          <w:tab w:val="left" w:pos="7095"/>
        </w:tabs>
        <w:kinsoku/>
        <w:wordWrap/>
        <w:overflowPunct/>
        <w:topLinePunct w:val="0"/>
        <w:autoSpaceDE/>
        <w:autoSpaceDN/>
        <w:bidi w:val="0"/>
        <w:adjustRightInd w:val="0"/>
        <w:spacing w:line="420" w:lineRule="auto"/>
        <w:ind w:firstLine="480" w:firstLineChars="200"/>
        <w:jc w:val="left"/>
        <w:textAlignment w:val="auto"/>
        <w:rPr>
          <w:rFonts w:hint="eastAsia" w:ascii="宋体" w:hAnsi="宋体" w:cs="宋体"/>
          <w:b w:val="0"/>
          <w:bCs/>
          <w:color w:val="auto"/>
          <w:sz w:val="24"/>
          <w:szCs w:val="24"/>
        </w:rPr>
      </w:pPr>
      <w:r>
        <w:rPr>
          <w:rFonts w:hint="eastAsia" w:ascii="宋体" w:hAnsi="宋体" w:cs="宋体"/>
          <w:b w:val="0"/>
          <w:bCs/>
          <w:color w:val="auto"/>
          <w:sz w:val="24"/>
          <w:szCs w:val="24"/>
          <w:lang w:val="en-US" w:eastAsia="zh-CN"/>
        </w:rPr>
        <w:t>1.</w:t>
      </w:r>
      <w:r>
        <w:rPr>
          <w:rFonts w:hint="eastAsia" w:ascii="宋体" w:hAnsi="宋体" w:cs="宋体"/>
          <w:b w:val="0"/>
          <w:bCs/>
          <w:color w:val="auto"/>
          <w:sz w:val="24"/>
          <w:szCs w:val="24"/>
          <w:lang w:eastAsia="zh-CN"/>
        </w:rPr>
        <w:t>投标人</w:t>
      </w:r>
      <w:r>
        <w:rPr>
          <w:rFonts w:hint="eastAsia" w:ascii="宋体" w:hAnsi="宋体" w:cs="宋体"/>
          <w:b w:val="0"/>
          <w:bCs/>
          <w:color w:val="auto"/>
          <w:sz w:val="24"/>
          <w:szCs w:val="24"/>
        </w:rPr>
        <w:t>参加本项目投标，需提前自行联系CA服务机构办理数字认证证书并进行电子签章。</w:t>
      </w:r>
    </w:p>
    <w:p w14:paraId="1504DC53">
      <w:pPr>
        <w:keepNext w:val="0"/>
        <w:keepLines w:val="0"/>
        <w:pageBreakBefore w:val="0"/>
        <w:widowControl w:val="0"/>
        <w:tabs>
          <w:tab w:val="left" w:pos="7095"/>
        </w:tabs>
        <w:kinsoku/>
        <w:wordWrap/>
        <w:overflowPunct/>
        <w:topLinePunct w:val="0"/>
        <w:autoSpaceDE/>
        <w:autoSpaceDN/>
        <w:bidi w:val="0"/>
        <w:adjustRightInd w:val="0"/>
        <w:spacing w:line="420" w:lineRule="auto"/>
        <w:ind w:firstLine="480" w:firstLineChars="200"/>
        <w:jc w:val="left"/>
        <w:textAlignment w:val="auto"/>
        <w:rPr>
          <w:rFonts w:hint="eastAsia" w:ascii="宋体" w:hAnsi="宋体" w:cs="宋体"/>
          <w:b w:val="0"/>
          <w:bCs/>
          <w:color w:val="auto"/>
          <w:sz w:val="24"/>
          <w:szCs w:val="24"/>
        </w:rPr>
      </w:pPr>
      <w:r>
        <w:rPr>
          <w:rFonts w:hint="eastAsia" w:ascii="宋体" w:hAnsi="宋体" w:cs="宋体"/>
          <w:b w:val="0"/>
          <w:bCs/>
          <w:color w:val="auto"/>
          <w:sz w:val="24"/>
          <w:szCs w:val="24"/>
          <w:lang w:val="en-US" w:eastAsia="zh-CN"/>
        </w:rPr>
        <w:t>2.</w:t>
      </w:r>
      <w:r>
        <w:rPr>
          <w:rFonts w:hint="eastAsia" w:ascii="宋体" w:hAnsi="宋体" w:cs="宋体"/>
          <w:b w:val="0"/>
          <w:bCs/>
          <w:color w:val="auto"/>
          <w:sz w:val="24"/>
          <w:szCs w:val="24"/>
          <w:lang w:eastAsia="zh-CN"/>
        </w:rPr>
        <w:t>招标</w:t>
      </w:r>
      <w:r>
        <w:rPr>
          <w:rFonts w:hint="eastAsia" w:ascii="宋体" w:hAnsi="宋体" w:cs="宋体"/>
          <w:b w:val="0"/>
          <w:bCs/>
          <w:color w:val="auto"/>
          <w:sz w:val="24"/>
          <w:szCs w:val="24"/>
        </w:rPr>
        <w:t>文件下载、</w:t>
      </w:r>
      <w:r>
        <w:rPr>
          <w:rFonts w:hint="eastAsia" w:ascii="宋体" w:hAnsi="宋体" w:cs="宋体"/>
          <w:b w:val="0"/>
          <w:bCs/>
          <w:color w:val="auto"/>
          <w:sz w:val="24"/>
          <w:szCs w:val="24"/>
          <w:lang w:eastAsia="zh-CN"/>
        </w:rPr>
        <w:t>投标</w:t>
      </w:r>
      <w:r>
        <w:rPr>
          <w:rFonts w:hint="eastAsia" w:ascii="宋体" w:hAnsi="宋体" w:cs="宋体"/>
          <w:b w:val="0"/>
          <w:bCs/>
          <w:color w:val="auto"/>
          <w:sz w:val="24"/>
          <w:szCs w:val="24"/>
        </w:rPr>
        <w:t>文件制作、提交、远程不见面开标（电子投标文件的解密）环节，供应商须使用同一个CA数字证书（证书须在有效期内并可正常使用）。</w:t>
      </w:r>
    </w:p>
    <w:p w14:paraId="40B7B48D">
      <w:pPr>
        <w:keepNext w:val="0"/>
        <w:keepLines w:val="0"/>
        <w:pageBreakBefore w:val="0"/>
        <w:widowControl w:val="0"/>
        <w:tabs>
          <w:tab w:val="left" w:pos="7095"/>
        </w:tabs>
        <w:kinsoku/>
        <w:wordWrap/>
        <w:overflowPunct/>
        <w:topLinePunct w:val="0"/>
        <w:autoSpaceDE/>
        <w:autoSpaceDN/>
        <w:bidi w:val="0"/>
        <w:adjustRightInd w:val="0"/>
        <w:spacing w:line="420" w:lineRule="auto"/>
        <w:ind w:firstLine="480" w:firstLineChars="200"/>
        <w:jc w:val="left"/>
        <w:textAlignment w:val="auto"/>
        <w:rPr>
          <w:rFonts w:ascii="宋体" w:hAnsi="宋体" w:cs="宋体"/>
          <w:b/>
          <w:color w:val="auto"/>
          <w:sz w:val="24"/>
          <w:szCs w:val="24"/>
        </w:rPr>
      </w:pPr>
      <w:r>
        <w:rPr>
          <w:rFonts w:hint="eastAsia" w:ascii="宋体" w:hAnsi="宋体" w:cs="宋体"/>
          <w:b w:val="0"/>
          <w:bCs/>
          <w:color w:val="auto"/>
          <w:sz w:val="24"/>
          <w:szCs w:val="24"/>
        </w:rPr>
        <w:t>3.电子投标文件的制作</w:t>
      </w:r>
    </w:p>
    <w:p w14:paraId="59350F9B">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420" w:lineRule="auto"/>
        <w:ind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3.1供应商登录《全国公共资源交易平台（河南省·许昌市）》（http://117.159.53.11:60632/）下载“新点投标文件制作软件（河南省版）”（在“投标人”登录页面右下方“投标文件制作工具下载”）制作电子投标文件。</w:t>
      </w:r>
    </w:p>
    <w:p w14:paraId="2D3926ED">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42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3.2 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5A969AE6">
      <w:pPr>
        <w:keepNext w:val="0"/>
        <w:keepLines w:val="0"/>
        <w:pageBreakBefore w:val="0"/>
        <w:widowControl w:val="0"/>
        <w:numPr>
          <w:ilvl w:val="0"/>
          <w:numId w:val="0"/>
        </w:numPr>
        <w:tabs>
          <w:tab w:val="left" w:pos="7095"/>
        </w:tabs>
        <w:kinsoku/>
        <w:wordWrap/>
        <w:overflowPunct/>
        <w:topLinePunct w:val="0"/>
        <w:autoSpaceDE/>
        <w:autoSpaceDN/>
        <w:bidi w:val="0"/>
        <w:spacing w:line="420" w:lineRule="auto"/>
        <w:ind w:firstLine="480" w:firstLineChars="200"/>
        <w:contextualSpacing/>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SA"/>
        </w:rPr>
        <w:t>4.</w:t>
      </w:r>
      <w:r>
        <w:rPr>
          <w:rFonts w:hint="eastAsia" w:ascii="宋体" w:hAnsi="宋体" w:eastAsia="宋体" w:cs="宋体"/>
          <w:b w:val="0"/>
          <w:bCs w:val="0"/>
          <w:color w:val="auto"/>
          <w:sz w:val="24"/>
          <w:szCs w:val="24"/>
        </w:rPr>
        <w:t>加密电子响应文件的提交</w:t>
      </w:r>
    </w:p>
    <w:p w14:paraId="7833B825">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42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4.1供应商对同一项目多个标段进行响应的，加密电子响应文件应按标段分别提交。</w:t>
      </w:r>
    </w:p>
    <w:p w14:paraId="31D123B5">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42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4.2加密电子投标文件成功提交后，可登录《全国公共资源交易平台（河南省·许昌市）》（http://117.159.53.11:60632/）许昌市公共资源电子交易系统，在上传电子投标文件的页面进行模拟解密，以验证是否能够成功解密。</w:t>
      </w:r>
    </w:p>
    <w:p w14:paraId="674CA2EF">
      <w:pPr>
        <w:keepNext w:val="0"/>
        <w:keepLines w:val="0"/>
        <w:pageBreakBefore w:val="0"/>
        <w:widowControl w:val="0"/>
        <w:numPr>
          <w:ilvl w:val="0"/>
          <w:numId w:val="0"/>
        </w:numPr>
        <w:tabs>
          <w:tab w:val="left" w:pos="7095"/>
        </w:tabs>
        <w:kinsoku/>
        <w:wordWrap/>
        <w:overflowPunct/>
        <w:topLinePunct w:val="0"/>
        <w:autoSpaceDE/>
        <w:autoSpaceDN/>
        <w:bidi w:val="0"/>
        <w:spacing w:line="420" w:lineRule="auto"/>
        <w:ind w:left="840" w:leftChars="0" w:hanging="420" w:firstLineChars="0"/>
        <w:contextualSpacing/>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SA"/>
        </w:rPr>
        <w:t>5.</w:t>
      </w:r>
      <w:r>
        <w:rPr>
          <w:rFonts w:hint="eastAsia" w:ascii="宋体" w:hAnsi="宋体" w:eastAsia="宋体" w:cs="宋体"/>
          <w:b w:val="0"/>
          <w:bCs w:val="0"/>
          <w:color w:val="auto"/>
          <w:sz w:val="24"/>
          <w:szCs w:val="24"/>
        </w:rPr>
        <w:t>远程不见面开标（电子响应文件的解密）</w:t>
      </w:r>
    </w:p>
    <w:p w14:paraId="0D697559">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42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5.1本项目采用远程“不见面”开标方式，投标前请详细阅读《全国公共资源交易平台（河南省·许昌市）》（http://117.159.53.11:60632/）“服务指南”——“办事指南”栏目下《新交易平台使用手册》中的相关内容。</w:t>
      </w:r>
    </w:p>
    <w:p w14:paraId="18D3E2D6">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42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供应商应按《新交易平台使用手册》提前设置好浏览器，并于开标时间前登录本项目网上开标大厅，按照规定的开标时间准时参加网上开标。</w:t>
      </w:r>
    </w:p>
    <w:p w14:paraId="6DC019EB">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42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5.3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拒绝。</w:t>
      </w:r>
    </w:p>
    <w:p w14:paraId="1639E504">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42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5.4开标活动结束时，供应商应在《开标情况记录表》上进行电子签章。供应商未签章的，视同认可开标结果。</w:t>
      </w:r>
    </w:p>
    <w:p w14:paraId="377F0E3E">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42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5.5供应商对开标过程和开标记录如有疑义，可在本项目开标大厅界面右下方“发起异议”中在线提出异议。</w:t>
      </w:r>
    </w:p>
    <w:p w14:paraId="558CDE39">
      <w:pPr>
        <w:keepNext w:val="0"/>
        <w:keepLines w:val="0"/>
        <w:pageBreakBefore w:val="0"/>
        <w:widowControl w:val="0"/>
        <w:tabs>
          <w:tab w:val="left" w:pos="7095"/>
        </w:tabs>
        <w:kinsoku/>
        <w:wordWrap/>
        <w:overflowPunct/>
        <w:topLinePunct w:val="0"/>
        <w:autoSpaceDE/>
        <w:autoSpaceDN/>
        <w:bidi w:val="0"/>
        <w:adjustRightInd w:val="0"/>
        <w:spacing w:line="420" w:lineRule="auto"/>
        <w:ind w:firstLine="482" w:firstLineChars="200"/>
        <w:jc w:val="left"/>
        <w:textAlignment w:val="auto"/>
        <w:rPr>
          <w:rFonts w:ascii="宋体" w:hAnsi="宋体" w:cs="宋体"/>
          <w:b/>
          <w:color w:val="auto"/>
          <w:sz w:val="24"/>
          <w:szCs w:val="24"/>
        </w:rPr>
      </w:pPr>
      <w:r>
        <w:rPr>
          <w:rFonts w:hint="eastAsia" w:ascii="宋体" w:hAnsi="宋体" w:cs="宋体"/>
          <w:b/>
          <w:color w:val="auto"/>
          <w:sz w:val="24"/>
          <w:szCs w:val="24"/>
        </w:rPr>
        <w:t>6.评标依据</w:t>
      </w:r>
    </w:p>
    <w:p w14:paraId="0B515896">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42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6.1 全流程电子化交易（不见面开标）项目，评标委员会以成功上传、解密的电子投标文件为依据评审。 </w:t>
      </w:r>
    </w:p>
    <w:p w14:paraId="2C9705AF">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42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default" w:ascii="宋体" w:hAnsi="宋体" w:eastAsia="宋体" w:cs="宋体"/>
          <w:b w:val="0"/>
          <w:bCs w:val="0"/>
          <w:color w:val="auto"/>
          <w:kern w:val="2"/>
          <w:sz w:val="24"/>
          <w:szCs w:val="24"/>
          <w:lang w:val="en-US" w:eastAsia="zh-CN" w:bidi="ar-SA"/>
        </w:rPr>
        <w:t xml:space="preserve">6.2 </w:t>
      </w:r>
      <w:r>
        <w:rPr>
          <w:rFonts w:hint="eastAsia" w:ascii="宋体" w:hAnsi="宋体" w:eastAsia="宋体" w:cs="宋体"/>
          <w:b w:val="0"/>
          <w:bCs w:val="0"/>
          <w:color w:val="auto"/>
          <w:kern w:val="2"/>
          <w:sz w:val="24"/>
          <w:szCs w:val="24"/>
          <w:lang w:val="en-US" w:eastAsia="zh-CN" w:bidi="ar-SA"/>
        </w:rPr>
        <w:t xml:space="preserve">评标期间，投标人应保持通讯手机畅通。评标委员会如要求投标人作出澄清、说明或者补正等，投标人应在评标委员会要求的评标期间合理的时间内通过《全国公共资源交易平台(河南省·许昌市)》——“许昌市公共资源电子交易系统”提供（操作流程详见“服务指南-办事指南-新交易平台使用手册-交易乙方（投标人、供应商等） 操作手册”）。 </w:t>
      </w:r>
    </w:p>
    <w:p w14:paraId="02C02D7F">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42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default" w:ascii="宋体" w:hAnsi="宋体" w:eastAsia="宋体" w:cs="宋体"/>
          <w:b w:val="0"/>
          <w:bCs w:val="0"/>
          <w:color w:val="auto"/>
          <w:kern w:val="2"/>
          <w:sz w:val="24"/>
          <w:szCs w:val="24"/>
          <w:lang w:val="en-US" w:eastAsia="zh-CN" w:bidi="ar-SA"/>
        </w:rPr>
        <w:t xml:space="preserve">6.3 </w:t>
      </w:r>
      <w:r>
        <w:rPr>
          <w:rFonts w:hint="eastAsia" w:ascii="宋体" w:hAnsi="宋体" w:eastAsia="宋体" w:cs="宋体"/>
          <w:b w:val="0"/>
          <w:bCs w:val="0"/>
          <w:color w:val="auto"/>
          <w:kern w:val="2"/>
          <w:sz w:val="24"/>
          <w:szCs w:val="24"/>
          <w:lang w:val="en-US" w:eastAsia="zh-CN" w:bidi="ar-SA"/>
        </w:rPr>
        <w:t xml:space="preserve">投标人提供的书面说明或相关证明材料应加盖公章，或者由法定代表人或其授权的代表签字。 </w:t>
      </w:r>
    </w:p>
    <w:p w14:paraId="7109C982">
      <w:pPr>
        <w:keepNext w:val="0"/>
        <w:keepLines w:val="0"/>
        <w:pageBreakBefore w:val="0"/>
        <w:widowControl w:val="0"/>
        <w:tabs>
          <w:tab w:val="left" w:pos="7095"/>
        </w:tabs>
        <w:kinsoku/>
        <w:wordWrap/>
        <w:overflowPunct/>
        <w:topLinePunct w:val="0"/>
        <w:autoSpaceDE/>
        <w:autoSpaceDN/>
        <w:bidi w:val="0"/>
        <w:adjustRightInd w:val="0"/>
        <w:spacing w:line="420" w:lineRule="auto"/>
        <w:ind w:firstLine="482" w:firstLineChars="200"/>
        <w:jc w:val="left"/>
        <w:textAlignment w:val="auto"/>
        <w:rPr>
          <w:rFonts w:hint="eastAsia" w:ascii="宋体" w:hAnsi="宋体" w:cs="宋体"/>
          <w:b/>
          <w:color w:val="auto"/>
          <w:sz w:val="24"/>
          <w:szCs w:val="24"/>
        </w:rPr>
      </w:pPr>
      <w:r>
        <w:rPr>
          <w:rFonts w:hint="eastAsia" w:ascii="宋体" w:hAnsi="宋体" w:cs="宋体"/>
          <w:b/>
          <w:color w:val="auto"/>
          <w:sz w:val="24"/>
          <w:szCs w:val="24"/>
          <w:lang w:val="en-US" w:eastAsia="zh-CN"/>
        </w:rPr>
        <w:t>7.</w:t>
      </w:r>
      <w:r>
        <w:rPr>
          <w:rFonts w:hint="eastAsia" w:ascii="宋体" w:hAnsi="宋体" w:cs="宋体"/>
          <w:b/>
          <w:color w:val="auto"/>
          <w:sz w:val="24"/>
          <w:szCs w:val="24"/>
        </w:rPr>
        <w:t>相关事项</w:t>
      </w:r>
    </w:p>
    <w:p w14:paraId="50482CF6">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42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7.1为使更多</w:t>
      </w:r>
      <w:r>
        <w:rPr>
          <w:rFonts w:hint="eastAsia" w:ascii="宋体" w:hAnsi="宋体" w:cs="宋体"/>
          <w:b w:val="0"/>
          <w:bCs w:val="0"/>
          <w:color w:val="auto"/>
          <w:kern w:val="2"/>
          <w:sz w:val="24"/>
          <w:szCs w:val="24"/>
          <w:lang w:val="en-US" w:eastAsia="zh-CN" w:bidi="ar-SA"/>
        </w:rPr>
        <w:t>投标人</w:t>
      </w:r>
      <w:r>
        <w:rPr>
          <w:rFonts w:hint="eastAsia" w:ascii="宋体" w:hAnsi="宋体" w:eastAsia="宋体" w:cs="宋体"/>
          <w:b w:val="0"/>
          <w:bCs w:val="0"/>
          <w:color w:val="auto"/>
          <w:kern w:val="2"/>
          <w:sz w:val="24"/>
          <w:szCs w:val="24"/>
          <w:lang w:val="en-US" w:eastAsia="zh-CN" w:bidi="ar-SA"/>
        </w:rPr>
        <w:t>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109BDD14">
      <w:pPr>
        <w:keepNext w:val="0"/>
        <w:keepLines w:val="0"/>
        <w:pageBreakBefore w:val="0"/>
        <w:widowControl w:val="0"/>
        <w:numPr>
          <w:ilvl w:val="0"/>
          <w:numId w:val="0"/>
        </w:numPr>
        <w:tabs>
          <w:tab w:val="left" w:pos="7095"/>
        </w:tabs>
        <w:kinsoku/>
        <w:wordWrap/>
        <w:overflowPunct/>
        <w:topLinePunct w:val="0"/>
        <w:autoSpaceDE/>
        <w:autoSpaceDN/>
        <w:bidi w:val="0"/>
        <w:adjustRightInd/>
        <w:snapToGrid/>
        <w:spacing w:line="420" w:lineRule="auto"/>
        <w:ind w:left="0" w:leftChars="0" w:firstLine="480" w:firstLineChars="200"/>
        <w:contextualSpacing/>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7.2《全国公共资源交易平台（河南省·许昌市）》（http://117.159.53.11:60632/）采购公告栏提供的招标文件仅供浏览。供应商下载招标文件应使用CA数字证书从《全国公共资源交易平台（河南省·许昌市）》（http://117.159.53.11:60632/）的“投标人”入口登录后获取。</w:t>
      </w:r>
    </w:p>
    <w:p w14:paraId="705BCFF1">
      <w:pPr>
        <w:pageBreakBefore/>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第二章 项目需求</w:t>
      </w:r>
    </w:p>
    <w:p w14:paraId="49E5DA29">
      <w:pPr>
        <w:keepNext w:val="0"/>
        <w:keepLines w:val="0"/>
        <w:pageBreakBefore w:val="0"/>
        <w:widowControl/>
        <w:shd w:val="clear" w:color="000000" w:fill="FFFFFF"/>
        <w:kinsoku/>
        <w:wordWrap/>
        <w:overflowPunct/>
        <w:topLinePunct w:val="0"/>
        <w:autoSpaceDE/>
        <w:autoSpaceDN/>
        <w:bidi w:val="0"/>
        <w:adjustRightInd/>
        <w:snapToGrid/>
        <w:spacing w:line="420" w:lineRule="auto"/>
        <w:contextualSpacing/>
        <w:jc w:val="left"/>
        <w:textAlignment w:val="auto"/>
        <w:rPr>
          <w:rFonts w:hint="eastAsia" w:asciiTheme="minorEastAsia" w:hAnsiTheme="minorEastAsia" w:eastAsiaTheme="minorEastAsia"/>
          <w:b/>
          <w:color w:val="auto"/>
          <w:sz w:val="24"/>
          <w:szCs w:val="24"/>
          <w:lang w:eastAsia="zh-CN"/>
        </w:rPr>
      </w:pPr>
      <w:r>
        <w:rPr>
          <w:rFonts w:hint="eastAsia" w:asciiTheme="minorEastAsia" w:hAnsiTheme="minorEastAsia" w:eastAsiaTheme="minorEastAsia"/>
          <w:b/>
          <w:color w:val="auto"/>
          <w:sz w:val="24"/>
          <w:szCs w:val="24"/>
        </w:rPr>
        <w:t>一、项目</w:t>
      </w:r>
      <w:r>
        <w:rPr>
          <w:rFonts w:hint="eastAsia" w:asciiTheme="minorEastAsia" w:hAnsiTheme="minorEastAsia" w:eastAsiaTheme="minorEastAsia"/>
          <w:b/>
          <w:color w:val="auto"/>
          <w:sz w:val="24"/>
          <w:szCs w:val="24"/>
          <w:lang w:eastAsia="zh-CN"/>
        </w:rPr>
        <w:t>需要实现的功能与目标</w:t>
      </w:r>
    </w:p>
    <w:p w14:paraId="60B86D04">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本项目位于许昌市建安区西部桂村乡、椹涧乡、灵井镇、榆林乡、河街乡、苏桥镇、艾庄乡、蒋李集镇共8个乡镇，包括原水泵站工程和清水管线工程。新建原水泵站总规模5万m³/d，新建原水输水管道DN800球墨铸铁管3500m（原水泵站-西部水厂），新建西部水厂至各乡镇及村级供水站配水管线总长169.683km。为充分利用南水北调中线分配水量，解决建安区西部水源置换问题。选取一家特许经营者由政府方出资代表及中标特许经营者出资共同组建项目公司负责许昌市建安区农村配水管网工程内相关供水设施的投融资、建设、运营维护和期满移交工作。</w:t>
      </w:r>
    </w:p>
    <w:p w14:paraId="2E135A38">
      <w:pPr>
        <w:keepNext w:val="0"/>
        <w:keepLines w:val="0"/>
        <w:pageBreakBefore w:val="0"/>
        <w:widowControl w:val="0"/>
        <w:kinsoku/>
        <w:wordWrap/>
        <w:overflowPunct/>
        <w:topLinePunct w:val="0"/>
        <w:autoSpaceDE/>
        <w:autoSpaceDN/>
        <w:bidi w:val="0"/>
        <w:adjustRightInd w:val="0"/>
        <w:snapToGrid w:val="0"/>
        <w:spacing w:line="420" w:lineRule="auto"/>
        <w:ind w:firstLine="480" w:firstLineChars="200"/>
        <w:jc w:val="left"/>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项目总投资估算约为22767.39万元，本项目拟采用“BOT（建设-运营-移交）”的实施方式，由政府方出资代表及中标社会资本方出资共同组建项目公司负责许昌市建安区农村配水管网工程内相关供水设施的投融资、建设、运营维护和期满移交工作。</w:t>
      </w:r>
    </w:p>
    <w:p w14:paraId="1DBB1886">
      <w:pPr>
        <w:keepNext w:val="0"/>
        <w:keepLines w:val="0"/>
        <w:pageBreakBefore w:val="0"/>
        <w:kinsoku/>
        <w:wordWrap/>
        <w:overflowPunct/>
        <w:topLinePunct w:val="0"/>
        <w:autoSpaceDE/>
        <w:autoSpaceDN/>
        <w:bidi w:val="0"/>
        <w:adjustRightInd/>
        <w:snapToGrid/>
        <w:spacing w:line="420" w:lineRule="auto"/>
        <w:jc w:val="left"/>
        <w:textAlignment w:val="auto"/>
        <w:rPr>
          <w:rFonts w:hint="default" w:cs="宋体" w:asciiTheme="minorEastAsia" w:hAnsiTheme="minorEastAsia" w:eastAsiaTheme="minorEastAsia"/>
          <w:b/>
          <w:color w:val="auto"/>
          <w:sz w:val="24"/>
          <w:szCs w:val="24"/>
          <w:lang w:val="en-US" w:eastAsia="zh-CN"/>
        </w:rPr>
      </w:pPr>
      <w:r>
        <w:rPr>
          <w:rFonts w:hint="eastAsia" w:cs="宋体" w:asciiTheme="minorEastAsia" w:hAnsiTheme="minorEastAsia" w:eastAsiaTheme="minorEastAsia"/>
          <w:b/>
          <w:color w:val="auto"/>
          <w:sz w:val="24"/>
          <w:szCs w:val="24"/>
        </w:rPr>
        <w:t>二、</w:t>
      </w:r>
      <w:r>
        <w:rPr>
          <w:rFonts w:hint="eastAsia" w:cs="宋体" w:asciiTheme="minorEastAsia" w:hAnsiTheme="minorEastAsia" w:eastAsiaTheme="minorEastAsia"/>
          <w:b/>
          <w:color w:val="auto"/>
          <w:sz w:val="24"/>
          <w:szCs w:val="24"/>
          <w:lang w:val="en-US" w:eastAsia="zh-CN"/>
        </w:rPr>
        <w:t>采购内容</w:t>
      </w:r>
    </w:p>
    <w:p w14:paraId="29828C35">
      <w:pPr>
        <w:keepNext w:val="0"/>
        <w:keepLines w:val="0"/>
        <w:pageBreakBefore w:val="0"/>
        <w:kinsoku/>
        <w:wordWrap/>
        <w:overflowPunct/>
        <w:topLinePunct w:val="0"/>
        <w:autoSpaceDE w:val="0"/>
        <w:autoSpaceDN w:val="0"/>
        <w:bidi w:val="0"/>
        <w:spacing w:before="3" w:line="42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项目建设内容</w:t>
      </w:r>
      <w:r>
        <w:rPr>
          <w:rFonts w:hint="eastAsia" w:ascii="宋体" w:hAnsi="宋体" w:eastAsia="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一</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新建南水北调原水取水泵站1座及配套输水管线，设计流程2417m³/h；（二）8乡镇配水管线169.683公里；（三）智慧水务自动化管理系统，在线水质监测设备45套，流量计8套，在线测压点9台，在线视频监控分析仪45套，远控阀45套，智能安防报警系统45套；（四）改造8处乡镇级农村供水服务大厅；（五）改造10万块户表</w:t>
      </w:r>
      <w:r>
        <w:rPr>
          <w:rFonts w:hint="eastAsia" w:ascii="宋体" w:hAnsi="宋体" w:eastAsia="宋体" w:cs="宋体"/>
          <w:color w:val="auto"/>
          <w:kern w:val="0"/>
          <w:sz w:val="24"/>
          <w:szCs w:val="24"/>
        </w:rPr>
        <w:t>。</w:t>
      </w:r>
    </w:p>
    <w:p w14:paraId="16505CEA">
      <w:pPr>
        <w:keepNext w:val="0"/>
        <w:keepLines w:val="0"/>
        <w:pageBreakBefore w:val="0"/>
        <w:kinsoku/>
        <w:wordWrap/>
        <w:overflowPunct/>
        <w:topLinePunct w:val="0"/>
        <w:autoSpaceDE w:val="0"/>
        <w:autoSpaceDN w:val="0"/>
        <w:bidi w:val="0"/>
        <w:spacing w:before="3" w:line="42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资金来源：项目公司自筹及融资解决。</w:t>
      </w:r>
    </w:p>
    <w:p w14:paraId="777FF57A">
      <w:pPr>
        <w:keepNext w:val="0"/>
        <w:keepLines w:val="0"/>
        <w:pageBreakBefore w:val="0"/>
        <w:kinsoku/>
        <w:wordWrap/>
        <w:overflowPunct/>
        <w:topLinePunct w:val="0"/>
        <w:autoSpaceDE w:val="0"/>
        <w:autoSpaceDN w:val="0"/>
        <w:bidi w:val="0"/>
        <w:spacing w:before="3" w:line="42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特许经营期限</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30</w:t>
      </w:r>
      <w:r>
        <w:rPr>
          <w:rFonts w:hint="eastAsia" w:ascii="宋体" w:hAnsi="宋体" w:eastAsia="宋体" w:cs="宋体"/>
          <w:color w:val="auto"/>
          <w:kern w:val="0"/>
          <w:sz w:val="24"/>
          <w:szCs w:val="24"/>
        </w:rPr>
        <w:t>年（建设期2年，运营期</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8年）。</w:t>
      </w:r>
    </w:p>
    <w:p w14:paraId="458B566A">
      <w:pPr>
        <w:keepNext w:val="0"/>
        <w:keepLines w:val="0"/>
        <w:pageBreakBefore w:val="0"/>
        <w:widowControl/>
        <w:shd w:val="clear" w:color="auto" w:fill="FFFFFF"/>
        <w:kinsoku/>
        <w:wordWrap/>
        <w:overflowPunct/>
        <w:topLinePunct w:val="0"/>
        <w:autoSpaceDE/>
        <w:autoSpaceDN/>
        <w:bidi w:val="0"/>
        <w:adjustRightInd/>
        <w:snapToGrid/>
        <w:spacing w:line="420" w:lineRule="auto"/>
        <w:contextualSpacing/>
        <w:jc w:val="left"/>
        <w:textAlignment w:val="auto"/>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en-US" w:eastAsia="zh-CN"/>
        </w:rPr>
        <w:t>三、</w:t>
      </w:r>
      <w:r>
        <w:rPr>
          <w:rFonts w:hint="eastAsia" w:ascii="宋体" w:hAnsi="宋体" w:cs="宋体"/>
          <w:b/>
          <w:color w:val="auto"/>
          <w:sz w:val="24"/>
          <w:szCs w:val="24"/>
          <w:lang w:val="en-US" w:eastAsia="zh-CN"/>
        </w:rPr>
        <w:t>服务标准、期限等要求</w:t>
      </w:r>
    </w:p>
    <w:p w14:paraId="5CCA9D82">
      <w:pPr>
        <w:keepNext w:val="0"/>
        <w:keepLines w:val="0"/>
        <w:pageBreakBefore w:val="0"/>
        <w:kinsoku/>
        <w:wordWrap/>
        <w:overflowPunct/>
        <w:topLinePunct w:val="0"/>
        <w:autoSpaceDE w:val="0"/>
        <w:autoSpaceDN w:val="0"/>
        <w:bidi w:val="0"/>
        <w:spacing w:before="3" w:line="42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 xml:space="preserve">质量要求：满足国家相关法律规定和现行行业标准与规范和招标文件要求。 </w:t>
      </w:r>
    </w:p>
    <w:p w14:paraId="2CF23346">
      <w:pPr>
        <w:keepNext w:val="0"/>
        <w:keepLines w:val="0"/>
        <w:pageBreakBefore w:val="0"/>
        <w:kinsoku/>
        <w:wordWrap/>
        <w:overflowPunct/>
        <w:topLinePunct w:val="0"/>
        <w:autoSpaceDE w:val="0"/>
        <w:autoSpaceDN w:val="0"/>
        <w:bidi w:val="0"/>
        <w:spacing w:before="3" w:line="42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 xml:space="preserve">保修期限：按照国家相关法律法规和采购人要求执行。 </w:t>
      </w:r>
    </w:p>
    <w:p w14:paraId="7A3EE2F0">
      <w:pPr>
        <w:keepNext w:val="0"/>
        <w:keepLines w:val="0"/>
        <w:pageBreakBefore w:val="0"/>
        <w:kinsoku/>
        <w:wordWrap/>
        <w:overflowPunct/>
        <w:topLinePunct w:val="0"/>
        <w:autoSpaceDE w:val="0"/>
        <w:autoSpaceDN w:val="0"/>
        <w:bidi w:val="0"/>
        <w:spacing w:before="3" w:line="420" w:lineRule="auto"/>
        <w:ind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lang w:val="en-US" w:eastAsia="zh-CN"/>
        </w:rPr>
        <w:t>3</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合同履行期限：合同签订后至项目合作期限结束。</w:t>
      </w:r>
    </w:p>
    <w:p w14:paraId="557F5EFB">
      <w:pPr>
        <w:keepNext w:val="0"/>
        <w:keepLines w:val="0"/>
        <w:pageBreakBefore w:val="0"/>
        <w:widowControl/>
        <w:kinsoku/>
        <w:wordWrap/>
        <w:overflowPunct/>
        <w:topLinePunct w:val="0"/>
        <w:autoSpaceDE/>
        <w:autoSpaceDN/>
        <w:bidi w:val="0"/>
        <w:adjustRightInd/>
        <w:snapToGrid/>
        <w:spacing w:line="420" w:lineRule="auto"/>
        <w:jc w:val="left"/>
        <w:textAlignment w:val="auto"/>
        <w:rPr>
          <w:rFonts w:hint="eastAsia" w:ascii="宋体" w:hAnsi="宋体" w:eastAsia="宋体" w:cs="宋体"/>
          <w:b/>
          <w:color w:val="auto"/>
          <w:sz w:val="24"/>
          <w:szCs w:val="24"/>
          <w:lang w:val="zh-CN"/>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rPr>
        <w:t>、采购标的的其他技术、服务等要求</w:t>
      </w:r>
    </w:p>
    <w:p w14:paraId="232719FC">
      <w:pPr>
        <w:keepNext w:val="0"/>
        <w:keepLines w:val="0"/>
        <w:pageBreakBefore w:val="0"/>
        <w:widowControl/>
        <w:kinsoku/>
        <w:wordWrap/>
        <w:overflowPunct/>
        <w:topLinePunct w:val="0"/>
        <w:autoSpaceDE/>
        <w:autoSpaceDN/>
        <w:bidi w:val="0"/>
        <w:adjustRightInd/>
        <w:snapToGrid/>
        <w:spacing w:line="420" w:lineRule="auto"/>
        <w:ind w:firstLine="480" w:firstLineChars="200"/>
        <w:jc w:val="left"/>
        <w:textAlignment w:val="auto"/>
        <w:rPr>
          <w:rFonts w:hint="eastAsia" w:ascii="宋体" w:hAnsi="宋体" w:cs="宋体"/>
          <w:b w:val="0"/>
          <w:bCs/>
          <w:color w:val="auto"/>
          <w:sz w:val="24"/>
          <w:szCs w:val="24"/>
          <w:lang w:eastAsia="zh-CN"/>
        </w:rPr>
      </w:pPr>
      <w:r>
        <w:rPr>
          <w:rFonts w:hint="eastAsia" w:ascii="宋体" w:hAnsi="宋体" w:cs="宋体"/>
          <w:b w:val="0"/>
          <w:bCs/>
          <w:color w:val="auto"/>
          <w:sz w:val="24"/>
          <w:szCs w:val="24"/>
          <w:lang w:eastAsia="zh-CN"/>
        </w:rPr>
        <w:t>1、投标文件中须有建设方案和运营方案，否则为无效投标。</w:t>
      </w:r>
    </w:p>
    <w:p w14:paraId="771D21B6">
      <w:pPr>
        <w:keepNext w:val="0"/>
        <w:keepLines w:val="0"/>
        <w:pageBreakBefore w:val="0"/>
        <w:widowControl/>
        <w:kinsoku/>
        <w:wordWrap/>
        <w:overflowPunct/>
        <w:topLinePunct w:val="0"/>
        <w:autoSpaceDE/>
        <w:autoSpaceDN/>
        <w:bidi w:val="0"/>
        <w:adjustRightInd/>
        <w:snapToGrid/>
        <w:spacing w:line="420" w:lineRule="auto"/>
        <w:ind w:firstLine="480" w:firstLineChars="200"/>
        <w:jc w:val="left"/>
        <w:textAlignment w:val="auto"/>
        <w:rPr>
          <w:rFonts w:hint="eastAsia" w:ascii="宋体" w:hAnsi="宋体" w:cs="宋体"/>
          <w:b w:val="0"/>
          <w:bCs/>
          <w:color w:val="auto"/>
          <w:sz w:val="24"/>
          <w:szCs w:val="24"/>
          <w:lang w:eastAsia="zh-CN"/>
        </w:rPr>
      </w:pPr>
      <w:r>
        <w:rPr>
          <w:rFonts w:hint="eastAsia" w:ascii="宋体" w:hAnsi="宋体" w:cs="宋体"/>
          <w:b w:val="0"/>
          <w:bCs/>
          <w:color w:val="auto"/>
          <w:sz w:val="24"/>
          <w:szCs w:val="24"/>
          <w:lang w:eastAsia="zh-CN"/>
        </w:rPr>
        <w:t>2、供应商应就本项目完整投标，否则为无效投标。</w:t>
      </w:r>
    </w:p>
    <w:p w14:paraId="268A56FF">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宋体"/>
          <w:b/>
          <w:color w:val="auto"/>
          <w:sz w:val="24"/>
          <w:szCs w:val="24"/>
        </w:rPr>
      </w:pPr>
      <w:r>
        <w:rPr>
          <w:rFonts w:hint="eastAsia" w:ascii="宋体" w:hAnsi="宋体" w:cs="宋体"/>
          <w:b/>
          <w:color w:val="auto"/>
          <w:sz w:val="24"/>
          <w:szCs w:val="24"/>
          <w:lang w:val="en-US" w:eastAsia="zh-CN"/>
        </w:rPr>
        <w:t>五</w:t>
      </w:r>
      <w:r>
        <w:rPr>
          <w:rFonts w:hint="eastAsia" w:ascii="宋体" w:hAnsi="宋体" w:cs="宋体"/>
          <w:b/>
          <w:color w:val="auto"/>
          <w:sz w:val="24"/>
          <w:szCs w:val="24"/>
        </w:rPr>
        <w:t>、验收标准</w:t>
      </w:r>
    </w:p>
    <w:p w14:paraId="281B411F">
      <w:pPr>
        <w:keepNext w:val="0"/>
        <w:keepLines w:val="0"/>
        <w:pageBreakBefore w:val="0"/>
        <w:kinsoku/>
        <w:wordWrap/>
        <w:overflowPunct/>
        <w:topLinePunct w:val="0"/>
        <w:autoSpaceDE/>
        <w:autoSpaceDN/>
        <w:bidi w:val="0"/>
        <w:adjustRightInd/>
        <w:snapToGrid/>
        <w:spacing w:line="420" w:lineRule="auto"/>
        <w:ind w:firstLine="480" w:firstLineChars="200"/>
        <w:jc w:val="left"/>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lang w:val="en-US" w:eastAsia="zh-CN"/>
        </w:rPr>
        <w:t>1、</w:t>
      </w:r>
      <w:r>
        <w:rPr>
          <w:rFonts w:hint="eastAsia" w:cs="宋体" w:asciiTheme="minorEastAsia" w:hAnsiTheme="minorEastAsia" w:eastAsiaTheme="minorEastAsia"/>
          <w:color w:val="auto"/>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w:t>
      </w:r>
      <w:r>
        <w:rPr>
          <w:rFonts w:hint="eastAsia" w:cs="宋体" w:asciiTheme="minorEastAsia" w:hAnsiTheme="minorEastAsia" w:eastAsiaTheme="minorEastAsia"/>
          <w:color w:val="auto"/>
          <w:sz w:val="24"/>
          <w:szCs w:val="24"/>
          <w:lang w:eastAsia="zh-CN"/>
        </w:rPr>
        <w:t>参与</w:t>
      </w:r>
      <w:r>
        <w:rPr>
          <w:rFonts w:hint="eastAsia" w:cs="宋体" w:asciiTheme="minorEastAsia" w:hAnsiTheme="minorEastAsia" w:eastAsiaTheme="minorEastAsia"/>
          <w:color w:val="auto"/>
          <w:sz w:val="24"/>
          <w:szCs w:val="24"/>
        </w:rPr>
        <w:t>验收方共同签署。</w:t>
      </w:r>
    </w:p>
    <w:p w14:paraId="4B31A322">
      <w:pPr>
        <w:keepNext w:val="0"/>
        <w:keepLines w:val="0"/>
        <w:pageBreakBefore w:val="0"/>
        <w:widowControl/>
        <w:kinsoku/>
        <w:wordWrap/>
        <w:overflowPunct/>
        <w:topLinePunct w:val="0"/>
        <w:autoSpaceDE/>
        <w:autoSpaceDN/>
        <w:bidi w:val="0"/>
        <w:adjustRightInd/>
        <w:snapToGrid/>
        <w:spacing w:line="42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2、按照国家相关标准、行业标准、地方标准或者其他标准、规范验收</w:t>
      </w:r>
      <w:r>
        <w:rPr>
          <w:rFonts w:hint="eastAsia" w:ascii="宋体" w:hAnsi="宋体" w:cs="宋体"/>
          <w:color w:val="auto"/>
          <w:sz w:val="24"/>
          <w:szCs w:val="24"/>
          <w:lang w:eastAsia="zh-CN"/>
        </w:rPr>
        <w:t>。</w:t>
      </w:r>
    </w:p>
    <w:p w14:paraId="51FA3BFF">
      <w:pPr>
        <w:keepNext w:val="0"/>
        <w:keepLines w:val="0"/>
        <w:pageBreakBefore w:val="0"/>
        <w:widowControl/>
        <w:kinsoku/>
        <w:wordWrap/>
        <w:overflowPunct/>
        <w:topLinePunct w:val="0"/>
        <w:autoSpaceDE/>
        <w:autoSpaceDN/>
        <w:bidi w:val="0"/>
        <w:adjustRightInd/>
        <w:snapToGrid/>
        <w:spacing w:line="420" w:lineRule="auto"/>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3、按照招标文件要求、投标文件响应和承诺验收。</w:t>
      </w:r>
    </w:p>
    <w:p w14:paraId="1833455D">
      <w:pPr>
        <w:keepNext w:val="0"/>
        <w:keepLines w:val="0"/>
        <w:pageBreakBefore w:val="0"/>
        <w:widowControl/>
        <w:kinsoku/>
        <w:wordWrap/>
        <w:overflowPunct/>
        <w:topLinePunct w:val="0"/>
        <w:autoSpaceDE/>
        <w:autoSpaceDN/>
        <w:bidi w:val="0"/>
        <w:adjustRightInd/>
        <w:snapToGrid/>
        <w:spacing w:line="420" w:lineRule="auto"/>
        <w:jc w:val="left"/>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六</w:t>
      </w:r>
      <w:r>
        <w:rPr>
          <w:rFonts w:hint="eastAsia" w:ascii="宋体" w:hAnsi="宋体" w:cs="宋体"/>
          <w:b/>
          <w:color w:val="auto"/>
          <w:sz w:val="24"/>
          <w:szCs w:val="24"/>
        </w:rPr>
        <w:t>、</w:t>
      </w:r>
      <w:r>
        <w:rPr>
          <w:rFonts w:hint="eastAsia" w:ascii="宋体" w:hAnsi="宋体" w:cs="宋体"/>
          <w:b/>
          <w:color w:val="auto"/>
          <w:sz w:val="24"/>
          <w:szCs w:val="24"/>
          <w:lang w:eastAsia="zh-CN"/>
        </w:rPr>
        <w:t>本项目预算金额：</w:t>
      </w:r>
      <w:r>
        <w:rPr>
          <w:rFonts w:hint="eastAsia" w:ascii="宋体" w:hAnsi="宋体" w:cs="宋体"/>
          <w:b/>
          <w:color w:val="auto"/>
          <w:sz w:val="24"/>
          <w:szCs w:val="24"/>
          <w:lang w:val="en-US" w:eastAsia="zh-CN"/>
        </w:rPr>
        <w:t>管线使用费第一阶梯单价（日均供水量小于等于2万m³）3.3元/m³；管线使用费第二阶梯单价（日均供水量超过2万m³部分）0.9元/m³，最终价格以实际投资金额以及后期签订的相关协议约定的结算价格为准。超出最高限价的投标无效。</w:t>
      </w:r>
    </w:p>
    <w:p w14:paraId="64F1F6F3">
      <w:pPr>
        <w:pageBreakBefore/>
        <w:autoSpaceDE w:val="0"/>
        <w:autoSpaceDN w:val="0"/>
        <w:adjustRightInd w:val="0"/>
        <w:jc w:val="center"/>
        <w:outlineLvl w:val="0"/>
        <w:rPr>
          <w:rFonts w:ascii="宋体" w:hAnsi="宋体" w:cs="宋体"/>
          <w:color w:val="auto"/>
        </w:rPr>
      </w:pPr>
      <w:r>
        <w:rPr>
          <w:rFonts w:hint="eastAsia" w:ascii="宋体" w:hAnsi="宋体" w:cs="宋体"/>
          <w:b/>
          <w:color w:val="auto"/>
          <w:kern w:val="0"/>
          <w:sz w:val="36"/>
          <w:szCs w:val="36"/>
        </w:rPr>
        <w:t xml:space="preserve">第三章 </w:t>
      </w:r>
      <w:r>
        <w:rPr>
          <w:rFonts w:hint="eastAsia" w:ascii="宋体" w:hAnsi="宋体" w:cs="宋体"/>
          <w:b/>
          <w:color w:val="auto"/>
          <w:kern w:val="0"/>
          <w:sz w:val="36"/>
          <w:szCs w:val="36"/>
          <w:lang w:eastAsia="zh-CN"/>
        </w:rPr>
        <w:t>投标人</w:t>
      </w:r>
      <w:r>
        <w:rPr>
          <w:rFonts w:hint="eastAsia" w:ascii="宋体" w:hAnsi="宋体" w:cs="宋体"/>
          <w:b/>
          <w:color w:val="auto"/>
          <w:kern w:val="0"/>
          <w:sz w:val="36"/>
          <w:szCs w:val="36"/>
        </w:rPr>
        <w:t>须知前附表</w:t>
      </w:r>
    </w:p>
    <w:p w14:paraId="0AA8B468">
      <w:pPr>
        <w:autoSpaceDE w:val="0"/>
        <w:autoSpaceDN w:val="0"/>
        <w:adjustRightInd w:val="0"/>
        <w:spacing w:line="360" w:lineRule="auto"/>
        <w:ind w:right="-11"/>
        <w:jc w:val="left"/>
        <w:rPr>
          <w:rFonts w:ascii="宋体" w:hAnsi="宋体" w:cs="宋体"/>
          <w:b/>
          <w:color w:val="auto"/>
          <w:kern w:val="0"/>
          <w:sz w:val="24"/>
          <w:szCs w:val="24"/>
        </w:rPr>
      </w:pPr>
      <w:r>
        <w:rPr>
          <w:rFonts w:hint="eastAsia" w:ascii="宋体" w:hAnsi="宋体" w:cs="宋体"/>
          <w:b/>
          <w:color w:val="auto"/>
          <w:sz w:val="24"/>
          <w:szCs w:val="24"/>
        </w:rPr>
        <w:t>招标文件中凡标有★条款均为实质性要求条款，投标文件须完全响应，未实质响应的，按照无效投标处理。</w:t>
      </w:r>
    </w:p>
    <w:tbl>
      <w:tblPr>
        <w:tblStyle w:val="40"/>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14:paraId="70A2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29DF888">
            <w:pPr>
              <w:autoSpaceDE w:val="0"/>
              <w:autoSpaceDN w:val="0"/>
              <w:adjustRightInd w:val="0"/>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2268" w:type="dxa"/>
            <w:vAlign w:val="center"/>
          </w:tcPr>
          <w:p w14:paraId="0A2175EB">
            <w:pPr>
              <w:autoSpaceDE w:val="0"/>
              <w:autoSpaceDN w:val="0"/>
              <w:adjustRightInd w:val="0"/>
              <w:spacing w:line="360" w:lineRule="auto"/>
              <w:jc w:val="center"/>
              <w:rPr>
                <w:rFonts w:ascii="宋体" w:hAnsi="宋体" w:cs="宋体"/>
                <w:b/>
                <w:color w:val="auto"/>
                <w:szCs w:val="21"/>
              </w:rPr>
            </w:pPr>
            <w:r>
              <w:rPr>
                <w:rFonts w:hint="eastAsia" w:ascii="宋体" w:hAnsi="宋体" w:cs="宋体"/>
                <w:b/>
                <w:color w:val="auto"/>
                <w:szCs w:val="21"/>
              </w:rPr>
              <w:t>条款名称</w:t>
            </w:r>
          </w:p>
        </w:tc>
        <w:tc>
          <w:tcPr>
            <w:tcW w:w="6739" w:type="dxa"/>
            <w:vAlign w:val="center"/>
          </w:tcPr>
          <w:p w14:paraId="1416205D">
            <w:pPr>
              <w:autoSpaceDE w:val="0"/>
              <w:autoSpaceDN w:val="0"/>
              <w:adjustRightInd w:val="0"/>
              <w:spacing w:line="360" w:lineRule="auto"/>
              <w:jc w:val="center"/>
              <w:rPr>
                <w:rFonts w:ascii="宋体" w:hAnsi="宋体" w:cs="宋体"/>
                <w:b/>
                <w:color w:val="auto"/>
                <w:szCs w:val="21"/>
              </w:rPr>
            </w:pPr>
            <w:r>
              <w:rPr>
                <w:rFonts w:hint="eastAsia" w:ascii="宋体" w:hAnsi="宋体" w:cs="宋体"/>
                <w:b/>
                <w:color w:val="auto"/>
                <w:szCs w:val="21"/>
              </w:rPr>
              <w:t>说明和要求</w:t>
            </w:r>
          </w:p>
        </w:tc>
      </w:tr>
      <w:tr w14:paraId="5EB8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A7F7C8E">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1</w:t>
            </w:r>
          </w:p>
        </w:tc>
        <w:tc>
          <w:tcPr>
            <w:tcW w:w="2268" w:type="dxa"/>
            <w:vAlign w:val="center"/>
          </w:tcPr>
          <w:p w14:paraId="66BD9D82">
            <w:pPr>
              <w:keepNext w:val="0"/>
              <w:keepLines w:val="0"/>
              <w:pageBreakBefore w:val="0"/>
              <w:widowControl w:val="0"/>
              <w:kinsoku/>
              <w:wordWrap/>
              <w:overflowPunct/>
              <w:topLinePunct w:val="0"/>
              <w:bidi w:val="0"/>
              <w:spacing w:line="440" w:lineRule="exact"/>
              <w:jc w:val="center"/>
              <w:textAlignment w:val="auto"/>
              <w:rPr>
                <w:rFonts w:ascii="宋体" w:hAnsi="宋体" w:cs="宋体"/>
                <w:color w:val="auto"/>
                <w:szCs w:val="21"/>
              </w:rPr>
            </w:pPr>
            <w:r>
              <w:rPr>
                <w:rFonts w:hint="eastAsia" w:ascii="宋体" w:hAnsi="宋体" w:cs="宋体"/>
                <w:color w:val="auto"/>
                <w:szCs w:val="21"/>
              </w:rPr>
              <w:t>采购项目</w:t>
            </w:r>
          </w:p>
        </w:tc>
        <w:tc>
          <w:tcPr>
            <w:tcW w:w="6739" w:type="dxa"/>
          </w:tcPr>
          <w:p w14:paraId="2DFB0E5F">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仿宋_GB2312"/>
                <w:color w:val="auto"/>
                <w:szCs w:val="21"/>
                <w:lang w:val="zh-CN"/>
              </w:rPr>
            </w:pPr>
            <w:r>
              <w:rPr>
                <w:rFonts w:hint="eastAsia" w:ascii="宋体" w:hAnsi="宋体" w:eastAsia="宋体" w:cs="仿宋_GB2312"/>
                <w:color w:val="auto"/>
                <w:szCs w:val="21"/>
                <w:lang w:val="zh-CN"/>
              </w:rPr>
              <w:t>项目名称：</w:t>
            </w:r>
            <w:r>
              <w:rPr>
                <w:rFonts w:hint="eastAsia" w:ascii="宋体" w:hAnsi="宋体" w:cs="仿宋_GB2312"/>
                <w:color w:val="auto"/>
                <w:szCs w:val="21"/>
                <w:lang w:val="zh-CN"/>
              </w:rPr>
              <w:t>许昌市建安区农村配水管网工程</w:t>
            </w:r>
          </w:p>
          <w:p w14:paraId="017D09AD">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color w:val="auto"/>
                <w:szCs w:val="21"/>
              </w:rPr>
            </w:pPr>
            <w:r>
              <w:rPr>
                <w:rFonts w:hint="eastAsia" w:ascii="宋体" w:hAnsi="宋体" w:eastAsia="宋体" w:cs="仿宋_GB2312"/>
                <w:color w:val="auto"/>
                <w:szCs w:val="21"/>
                <w:lang w:val="zh-CN"/>
              </w:rPr>
              <w:t>采购需求：</w:t>
            </w:r>
            <w:r>
              <w:rPr>
                <w:rFonts w:hint="eastAsia" w:ascii="宋体" w:hAnsi="宋体" w:cs="仿宋_GB2312"/>
                <w:color w:val="auto"/>
                <w:szCs w:val="21"/>
                <w:lang w:val="zh-CN" w:eastAsia="zh-CN"/>
              </w:rPr>
              <w:t>详见招标文件</w:t>
            </w:r>
          </w:p>
          <w:p w14:paraId="58F0E1CF">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color w:val="auto"/>
                <w:szCs w:val="21"/>
              </w:rPr>
            </w:pPr>
            <w:r>
              <w:rPr>
                <w:rFonts w:hint="eastAsia" w:ascii="宋体" w:hAnsi="宋体" w:eastAsia="宋体" w:cs="仿宋_GB2312"/>
                <w:color w:val="auto"/>
                <w:szCs w:val="21"/>
              </w:rPr>
              <w:t>履约地点：许昌市建安区</w:t>
            </w:r>
          </w:p>
        </w:tc>
      </w:tr>
      <w:tr w14:paraId="04F4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78FBC88">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2</w:t>
            </w:r>
          </w:p>
        </w:tc>
        <w:tc>
          <w:tcPr>
            <w:tcW w:w="2268" w:type="dxa"/>
            <w:vAlign w:val="center"/>
          </w:tcPr>
          <w:p w14:paraId="0BB1B617">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采购人</w:t>
            </w:r>
          </w:p>
        </w:tc>
        <w:tc>
          <w:tcPr>
            <w:tcW w:w="6739" w:type="dxa"/>
            <w:vAlign w:val="center"/>
          </w:tcPr>
          <w:p w14:paraId="25E45B5E">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名称：</w:t>
            </w:r>
            <w:r>
              <w:rPr>
                <w:rFonts w:hint="eastAsia" w:ascii="宋体" w:hAnsi="宋体" w:cs="仿宋_GB2312"/>
                <w:color w:val="auto"/>
                <w:szCs w:val="21"/>
                <w:lang w:val="zh-CN"/>
              </w:rPr>
              <w:t>许昌市建安区水利局</w:t>
            </w:r>
          </w:p>
          <w:p w14:paraId="36A91136">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地址：许昌市建安区</w:t>
            </w:r>
            <w:r>
              <w:rPr>
                <w:rFonts w:hint="eastAsia" w:ascii="宋体" w:hAnsi="宋体" w:eastAsia="宋体" w:cs="仿宋_GB2312"/>
                <w:color w:val="auto"/>
                <w:szCs w:val="21"/>
                <w:lang w:val="en-US" w:eastAsia="zh-CN"/>
              </w:rPr>
              <w:t>兴业</w:t>
            </w:r>
            <w:r>
              <w:rPr>
                <w:rFonts w:hint="eastAsia" w:ascii="宋体" w:hAnsi="宋体" w:eastAsia="宋体" w:cs="仿宋_GB2312"/>
                <w:color w:val="auto"/>
                <w:szCs w:val="21"/>
                <w:lang w:val="zh-CN"/>
              </w:rPr>
              <w:t>大厦</w:t>
            </w:r>
            <w:r>
              <w:rPr>
                <w:rFonts w:hint="eastAsia" w:ascii="宋体" w:hAnsi="宋体" w:cs="仿宋_GB2312"/>
                <w:color w:val="auto"/>
                <w:szCs w:val="21"/>
                <w:lang w:val="en-US" w:eastAsia="zh-CN"/>
              </w:rPr>
              <w:t>3</w:t>
            </w:r>
            <w:r>
              <w:rPr>
                <w:rFonts w:hint="eastAsia" w:ascii="宋体" w:hAnsi="宋体" w:eastAsia="宋体" w:cs="仿宋_GB2312"/>
                <w:color w:val="auto"/>
                <w:szCs w:val="21"/>
                <w:lang w:val="en-US" w:eastAsia="zh-CN"/>
              </w:rPr>
              <w:t>楼</w:t>
            </w:r>
          </w:p>
          <w:p w14:paraId="2F81C578">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联系人：</w:t>
            </w:r>
            <w:r>
              <w:rPr>
                <w:rFonts w:hint="eastAsia" w:ascii="宋体" w:hAnsi="宋体" w:cs="仿宋_GB2312"/>
                <w:color w:val="auto"/>
                <w:szCs w:val="21"/>
                <w:lang w:val="zh-CN"/>
              </w:rPr>
              <w:t>王志勇</w:t>
            </w:r>
          </w:p>
          <w:p w14:paraId="1FC4F551">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联系方式：</w:t>
            </w:r>
            <w:r>
              <w:rPr>
                <w:rFonts w:hint="eastAsia" w:ascii="宋体" w:hAnsi="宋体" w:cs="仿宋_GB2312"/>
                <w:color w:val="auto"/>
                <w:szCs w:val="21"/>
                <w:lang w:val="en-US" w:eastAsia="zh-CN"/>
              </w:rPr>
              <w:t>15038900259</w:t>
            </w:r>
          </w:p>
        </w:tc>
      </w:tr>
      <w:tr w14:paraId="566F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6E530DF">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3</w:t>
            </w:r>
          </w:p>
        </w:tc>
        <w:tc>
          <w:tcPr>
            <w:tcW w:w="2268" w:type="dxa"/>
            <w:vAlign w:val="center"/>
          </w:tcPr>
          <w:p w14:paraId="4EED5D7A">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代理机构</w:t>
            </w:r>
          </w:p>
        </w:tc>
        <w:tc>
          <w:tcPr>
            <w:tcW w:w="6739" w:type="dxa"/>
            <w:vAlign w:val="center"/>
          </w:tcPr>
          <w:p w14:paraId="02E9192E">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名称：</w:t>
            </w:r>
            <w:r>
              <w:rPr>
                <w:rFonts w:hint="eastAsia" w:ascii="宋体" w:hAnsi="宋体" w:cs="仿宋_GB2312"/>
                <w:color w:val="auto"/>
                <w:szCs w:val="21"/>
                <w:lang w:val="zh-CN"/>
              </w:rPr>
              <w:t>河南招标采购服务有限公司</w:t>
            </w:r>
          </w:p>
          <w:p w14:paraId="1750D95D">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地址：郑州市金水区纬四路13号</w:t>
            </w:r>
          </w:p>
          <w:p w14:paraId="749B6E3B">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联系人：刘宝丰</w:t>
            </w:r>
          </w:p>
          <w:p w14:paraId="6EE9D8A7">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联系方式：13937120256</w:t>
            </w:r>
          </w:p>
        </w:tc>
      </w:tr>
      <w:tr w14:paraId="36EB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6" w:type="dxa"/>
            <w:vAlign w:val="center"/>
          </w:tcPr>
          <w:p w14:paraId="35BB6B9E">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4</w:t>
            </w:r>
          </w:p>
        </w:tc>
        <w:tc>
          <w:tcPr>
            <w:tcW w:w="2268" w:type="dxa"/>
            <w:vAlign w:val="center"/>
          </w:tcPr>
          <w:p w14:paraId="080A02F8">
            <w:pPr>
              <w:keepNext w:val="0"/>
              <w:keepLines w:val="0"/>
              <w:pageBreakBefore w:val="0"/>
              <w:widowControl w:val="0"/>
              <w:kinsoku/>
              <w:wordWrap/>
              <w:overflowPunct/>
              <w:topLinePunct w:val="0"/>
              <w:autoSpaceDE w:val="0"/>
              <w:autoSpaceDN w:val="0"/>
              <w:bidi w:val="0"/>
              <w:adjustRightInd w:val="0"/>
              <w:spacing w:line="440" w:lineRule="exact"/>
              <w:ind w:right="-11"/>
              <w:jc w:val="center"/>
              <w:textAlignment w:val="auto"/>
              <w:rPr>
                <w:rFonts w:ascii="宋体" w:hAnsi="宋体" w:cs="宋体"/>
                <w:bCs/>
                <w:color w:val="auto"/>
                <w:szCs w:val="21"/>
              </w:rPr>
            </w:pPr>
            <w:r>
              <w:rPr>
                <w:rFonts w:hint="eastAsia" w:ascii="宋体" w:hAnsi="宋体" w:cs="宋体"/>
                <w:bCs/>
                <w:color w:val="auto"/>
                <w:szCs w:val="21"/>
              </w:rPr>
              <w:t>★</w:t>
            </w:r>
            <w:r>
              <w:rPr>
                <w:rFonts w:hint="eastAsia" w:ascii="宋体" w:hAnsi="宋体" w:cs="宋体"/>
                <w:bCs/>
                <w:color w:val="auto"/>
                <w:szCs w:val="21"/>
                <w:lang w:eastAsia="zh-CN"/>
              </w:rPr>
              <w:t>投标人</w:t>
            </w:r>
            <w:r>
              <w:rPr>
                <w:rFonts w:hint="eastAsia" w:ascii="宋体" w:hAnsi="宋体" w:cs="宋体"/>
                <w:bCs/>
                <w:color w:val="auto"/>
                <w:szCs w:val="21"/>
              </w:rPr>
              <w:t>资格</w:t>
            </w:r>
          </w:p>
        </w:tc>
        <w:tc>
          <w:tcPr>
            <w:tcW w:w="6739" w:type="dxa"/>
            <w:vAlign w:val="center"/>
          </w:tcPr>
          <w:p w14:paraId="7B2A2A72">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b/>
                <w:bCs/>
                <w:color w:val="auto"/>
                <w:szCs w:val="21"/>
              </w:rPr>
            </w:pPr>
            <w:r>
              <w:rPr>
                <w:rFonts w:hint="eastAsia" w:ascii="宋体" w:hAnsi="宋体" w:cs="仿宋_GB2312"/>
                <w:b/>
                <w:bCs/>
                <w:color w:val="auto"/>
                <w:szCs w:val="21"/>
              </w:rPr>
              <w:t>符合《政府采购法》第二十二条规定</w:t>
            </w:r>
          </w:p>
          <w:p w14:paraId="375FFE5A">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color w:val="auto"/>
                <w:szCs w:val="21"/>
              </w:rPr>
            </w:pPr>
            <w:r>
              <w:rPr>
                <w:rFonts w:hint="eastAsia" w:ascii="宋体" w:hAnsi="宋体" w:cs="仿宋_GB2312"/>
                <w:color w:val="auto"/>
                <w:szCs w:val="21"/>
              </w:rPr>
              <w:t xml:space="preserve">1．具有独立承担民事责任的能力； </w:t>
            </w:r>
          </w:p>
          <w:p w14:paraId="1DFB65A2">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color w:val="auto"/>
                <w:szCs w:val="21"/>
              </w:rPr>
            </w:pPr>
            <w:r>
              <w:rPr>
                <w:rFonts w:hint="eastAsia" w:ascii="宋体" w:hAnsi="宋体" w:cs="仿宋_GB2312"/>
                <w:color w:val="auto"/>
                <w:szCs w:val="21"/>
              </w:rPr>
              <w:t xml:space="preserve">2．具有良好的商业信誉和健全的财务会计制度； </w:t>
            </w:r>
          </w:p>
          <w:p w14:paraId="069BF8E5">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color w:val="auto"/>
                <w:szCs w:val="21"/>
              </w:rPr>
            </w:pPr>
            <w:r>
              <w:rPr>
                <w:rFonts w:hint="eastAsia" w:ascii="宋体" w:hAnsi="宋体" w:cs="仿宋_GB2312"/>
                <w:color w:val="auto"/>
                <w:szCs w:val="21"/>
              </w:rPr>
              <w:t xml:space="preserve">3．具有履行合同所必需的设备和专业技术能力； </w:t>
            </w:r>
          </w:p>
          <w:p w14:paraId="2BF20A22">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color w:val="auto"/>
                <w:szCs w:val="21"/>
              </w:rPr>
            </w:pPr>
            <w:r>
              <w:rPr>
                <w:rFonts w:hint="eastAsia" w:ascii="宋体" w:hAnsi="宋体" w:cs="仿宋_GB2312"/>
                <w:color w:val="auto"/>
                <w:szCs w:val="21"/>
              </w:rPr>
              <w:t xml:space="preserve">4．具有依法缴纳税收和社会保障资金的良好记录； </w:t>
            </w:r>
          </w:p>
          <w:p w14:paraId="1B1FE021">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color w:val="auto"/>
                <w:szCs w:val="21"/>
              </w:rPr>
            </w:pPr>
            <w:r>
              <w:rPr>
                <w:rFonts w:hint="eastAsia" w:ascii="宋体" w:hAnsi="宋体" w:cs="仿宋_GB2312"/>
                <w:color w:val="auto"/>
                <w:szCs w:val="21"/>
              </w:rPr>
              <w:t>5．参加政府采购活动前三年内，在经营活动中没有重大违法记录；</w:t>
            </w:r>
          </w:p>
          <w:p w14:paraId="03A0B426">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color w:val="auto"/>
                <w:szCs w:val="21"/>
              </w:rPr>
            </w:pPr>
            <w:r>
              <w:rPr>
                <w:rFonts w:hint="eastAsia" w:ascii="宋体" w:hAnsi="宋体" w:cs="仿宋_GB2312"/>
                <w:color w:val="auto"/>
                <w:szCs w:val="21"/>
              </w:rPr>
              <w:t>注：</w:t>
            </w:r>
          </w:p>
          <w:p w14:paraId="48696081">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b/>
                <w:bCs/>
                <w:color w:val="auto"/>
                <w:szCs w:val="21"/>
              </w:rPr>
            </w:pPr>
            <w:r>
              <w:rPr>
                <w:rFonts w:hint="eastAsia" w:ascii="宋体" w:hAnsi="宋体" w:cs="仿宋_GB2312"/>
                <w:b/>
                <w:bCs/>
                <w:color w:val="auto"/>
                <w:szCs w:val="21"/>
              </w:rPr>
              <w:t>1、供应商在投标时，提供《许昌市建安区政府采购供应商信用承诺函》（详见招标文件第八章3.</w:t>
            </w:r>
            <w:r>
              <w:rPr>
                <w:rFonts w:hint="eastAsia" w:ascii="宋体" w:hAnsi="宋体" w:cs="仿宋_GB2312"/>
                <w:b/>
                <w:bCs/>
                <w:color w:val="auto"/>
                <w:szCs w:val="21"/>
                <w:lang w:val="en-US" w:eastAsia="zh-CN"/>
              </w:rPr>
              <w:t>5</w:t>
            </w:r>
            <w:r>
              <w:rPr>
                <w:rFonts w:hint="eastAsia" w:ascii="宋体" w:hAnsi="宋体" w:cs="仿宋_GB2312"/>
                <w:b/>
                <w:bCs/>
                <w:color w:val="auto"/>
                <w:szCs w:val="21"/>
              </w:rPr>
              <w:t>格式），无需再提交上述证明材料。</w:t>
            </w:r>
          </w:p>
          <w:p w14:paraId="1E958D19">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b/>
                <w:bCs/>
                <w:color w:val="auto"/>
                <w:szCs w:val="21"/>
              </w:rPr>
            </w:pPr>
            <w:r>
              <w:rPr>
                <w:rFonts w:hint="eastAsia" w:ascii="宋体" w:hAnsi="宋体" w:cs="仿宋_GB2312"/>
                <w:b/>
                <w:bCs/>
                <w:color w:val="auto"/>
                <w:szCs w:val="21"/>
              </w:rPr>
              <w:t>2、采购人有权在签订合同前要求中标供应商提供相关证明材料以核实中标供应商承诺事项的真实性。</w:t>
            </w:r>
          </w:p>
          <w:p w14:paraId="376FD67A">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b/>
                <w:bCs/>
                <w:color w:val="auto"/>
                <w:szCs w:val="21"/>
              </w:rPr>
            </w:pPr>
            <w:r>
              <w:rPr>
                <w:rFonts w:hint="eastAsia" w:ascii="宋体" w:hAnsi="宋体" w:cs="仿宋_GB2312"/>
                <w:b/>
                <w:bCs/>
                <w:color w:val="auto"/>
                <w:szCs w:val="21"/>
              </w:rPr>
              <w:t>3、供应商对信用承诺内容的真实性、合法性、有效性负责。如作出虚假信用承诺，视同为“提供虚假材料谋取中标”的违法行为。</w:t>
            </w:r>
          </w:p>
          <w:p w14:paraId="64494024">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color w:val="auto"/>
                <w:szCs w:val="21"/>
                <w:lang w:eastAsia="zh-CN"/>
              </w:rPr>
            </w:pPr>
            <w:r>
              <w:rPr>
                <w:rFonts w:hint="eastAsia" w:ascii="宋体" w:hAnsi="宋体" w:cs="仿宋_GB2312"/>
                <w:color w:val="auto"/>
                <w:szCs w:val="21"/>
                <w:lang w:eastAsia="zh-CN"/>
              </w:rPr>
              <w:t>本项目的特定资格要求：</w:t>
            </w:r>
            <w:r>
              <w:rPr>
                <w:rFonts w:hint="eastAsia" w:ascii="宋体" w:hAnsi="宋体" w:cs="仿宋_GB2312"/>
                <w:color w:val="auto"/>
                <w:szCs w:val="21"/>
                <w:lang w:val="en-US" w:eastAsia="zh-CN"/>
              </w:rPr>
              <w:t>1.</w:t>
            </w:r>
            <w:r>
              <w:rPr>
                <w:rFonts w:hint="eastAsia" w:ascii="宋体" w:hAnsi="宋体" w:cs="仿宋_GB2312"/>
                <w:color w:val="auto"/>
                <w:szCs w:val="21"/>
                <w:lang w:eastAsia="zh-CN"/>
              </w:rPr>
              <w:t>施工单位须具备建设行政主管部门颁发的水利水电工程施工总承包贰级及以上资质，且具备有效的安全生产许可证。</w:t>
            </w:r>
          </w:p>
          <w:p w14:paraId="26A8E403">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cs="仿宋_GB2312"/>
                <w:color w:val="auto"/>
                <w:szCs w:val="21"/>
                <w:lang w:eastAsia="zh-CN"/>
              </w:rPr>
            </w:pPr>
            <w:r>
              <w:rPr>
                <w:rFonts w:hint="eastAsia" w:ascii="宋体" w:hAnsi="宋体" w:cs="仿宋_GB2312"/>
                <w:color w:val="auto"/>
                <w:szCs w:val="21"/>
                <w:lang w:val="en-US" w:eastAsia="zh-CN"/>
              </w:rPr>
              <w:t>2.</w:t>
            </w:r>
            <w:r>
              <w:rPr>
                <w:rFonts w:hint="eastAsia" w:ascii="宋体" w:hAnsi="宋体" w:cs="仿宋_GB2312"/>
                <w:color w:val="auto"/>
                <w:szCs w:val="21"/>
                <w:lang w:eastAsia="zh-CN"/>
              </w:rPr>
              <w:t>拟派施工项目负责人须具有水利水电工程专业贰级及以上注册建造师资格证书，且具有有效的安全生产考核合格证；拟派施工项目技术负责人具有水利专业中级及以上技术职称；项目负责人和技术负责人不得有在建工程，并出具无在建工程承诺书。</w:t>
            </w:r>
          </w:p>
          <w:p w14:paraId="1A602CFE">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bCs/>
                <w:color w:val="auto"/>
                <w:szCs w:val="21"/>
              </w:rPr>
            </w:pPr>
            <w:r>
              <w:rPr>
                <w:rFonts w:hint="eastAsia" w:ascii="宋体" w:hAnsi="宋体" w:cs="仿宋_GB2312"/>
                <w:color w:val="auto"/>
                <w:szCs w:val="21"/>
                <w:lang w:val="en-US" w:eastAsia="zh-CN"/>
              </w:rPr>
              <w:t>3.</w:t>
            </w:r>
            <w:r>
              <w:rPr>
                <w:rFonts w:hint="eastAsia" w:ascii="宋体" w:hAnsi="宋体" w:cs="仿宋_GB2312"/>
                <w:color w:val="auto"/>
                <w:szCs w:val="21"/>
                <w:lang w:eastAsia="zh-CN"/>
              </w:rPr>
              <w:t>如为联合体投标，联合体成员中的施工单位须满足以上要求。</w:t>
            </w:r>
          </w:p>
        </w:tc>
      </w:tr>
      <w:tr w14:paraId="2222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5804BED">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5</w:t>
            </w:r>
          </w:p>
        </w:tc>
        <w:tc>
          <w:tcPr>
            <w:tcW w:w="2268" w:type="dxa"/>
            <w:vAlign w:val="center"/>
          </w:tcPr>
          <w:p w14:paraId="4F586141">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color w:val="auto"/>
                <w:szCs w:val="21"/>
                <w:lang w:val="zh-CN"/>
              </w:rPr>
            </w:pPr>
            <w:r>
              <w:rPr>
                <w:rFonts w:hint="eastAsia" w:ascii="宋体" w:hAnsi="宋体" w:cs="宋体"/>
                <w:b/>
                <w:color w:val="auto"/>
                <w:szCs w:val="21"/>
              </w:rPr>
              <w:t>★</w:t>
            </w:r>
            <w:r>
              <w:rPr>
                <w:rFonts w:hint="eastAsia" w:ascii="宋体" w:hAnsi="宋体" w:cs="宋体"/>
                <w:bCs/>
                <w:color w:val="auto"/>
                <w:szCs w:val="21"/>
                <w:lang w:val="zh-CN"/>
              </w:rPr>
              <w:t>联合体投标</w:t>
            </w:r>
          </w:p>
        </w:tc>
        <w:tc>
          <w:tcPr>
            <w:tcW w:w="6739" w:type="dxa"/>
            <w:vAlign w:val="center"/>
          </w:tcPr>
          <w:p w14:paraId="3E064A8A">
            <w:pPr>
              <w:keepNext w:val="0"/>
              <w:keepLines w:val="0"/>
              <w:pageBreakBefore w:val="0"/>
              <w:widowControl w:val="0"/>
              <w:kinsoku/>
              <w:wordWrap/>
              <w:overflowPunct/>
              <w:topLinePunct w:val="0"/>
              <w:autoSpaceDE w:val="0"/>
              <w:autoSpaceDN w:val="0"/>
              <w:bidi w:val="0"/>
              <w:spacing w:line="440" w:lineRule="exact"/>
              <w:ind w:right="-11"/>
              <w:contextualSpacing/>
              <w:textAlignment w:val="auto"/>
              <w:rPr>
                <w:rFonts w:ascii="宋体" w:hAnsi="宋体" w:cs="宋体"/>
                <w:bCs/>
                <w:color w:val="auto"/>
                <w:szCs w:val="21"/>
              </w:rPr>
            </w:pPr>
            <w:r>
              <w:rPr>
                <w:rFonts w:hint="eastAsia" w:ascii="宋体" w:hAnsi="宋体" w:cs="宋体"/>
                <w:bCs/>
                <w:color w:val="auto"/>
                <w:szCs w:val="21"/>
              </w:rPr>
              <w:t>本项目</w:t>
            </w:r>
            <w:r>
              <w:rPr>
                <w:rFonts w:hint="eastAsia" w:ascii="宋体" w:hAnsi="宋体" w:cs="宋体"/>
                <w:bCs/>
                <w:color w:val="auto"/>
                <w:szCs w:val="21"/>
                <w:lang w:eastAsia="zh-CN"/>
              </w:rPr>
              <w:t>□</w:t>
            </w:r>
            <w:r>
              <w:rPr>
                <w:rFonts w:hint="eastAsia" w:ascii="宋体" w:hAnsi="宋体" w:cs="宋体"/>
                <w:bCs/>
                <w:color w:val="auto"/>
                <w:szCs w:val="21"/>
              </w:rPr>
              <w:t>不接受</w:t>
            </w:r>
            <w:r>
              <w:rPr>
                <w:rFonts w:hint="eastAsia" w:ascii="宋体" w:hAnsi="宋体" w:cs="宋体"/>
                <w:bCs/>
                <w:color w:val="auto"/>
                <w:szCs w:val="21"/>
                <w:lang w:eastAsia="zh-CN"/>
              </w:rPr>
              <w:t>☑</w:t>
            </w:r>
            <w:r>
              <w:rPr>
                <w:rFonts w:hint="eastAsia" w:ascii="宋体" w:hAnsi="宋体" w:cs="宋体"/>
                <w:bCs/>
                <w:color w:val="auto"/>
                <w:szCs w:val="21"/>
                <w:lang w:val="zh-CN"/>
              </w:rPr>
              <w:t>接受</w:t>
            </w:r>
            <w:r>
              <w:rPr>
                <w:rFonts w:hint="eastAsia" w:ascii="宋体" w:hAnsi="宋体" w:cs="宋体"/>
                <w:bCs/>
                <w:color w:val="auto"/>
                <w:szCs w:val="21"/>
              </w:rPr>
              <w:t>联合体投标</w:t>
            </w:r>
          </w:p>
        </w:tc>
      </w:tr>
      <w:tr w14:paraId="4D95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9F0C9C3">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6</w:t>
            </w:r>
          </w:p>
        </w:tc>
        <w:tc>
          <w:tcPr>
            <w:tcW w:w="2268" w:type="dxa"/>
            <w:vAlign w:val="center"/>
          </w:tcPr>
          <w:p w14:paraId="0C2405D1">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color w:val="auto"/>
                <w:szCs w:val="21"/>
                <w:lang w:val="zh-CN"/>
              </w:rPr>
            </w:pPr>
            <w:r>
              <w:rPr>
                <w:rFonts w:hint="eastAsia" w:ascii="宋体" w:hAnsi="宋体" w:cs="宋体"/>
                <w:b/>
                <w:color w:val="auto"/>
                <w:szCs w:val="21"/>
              </w:rPr>
              <w:t>★</w:t>
            </w:r>
            <w:r>
              <w:rPr>
                <w:rFonts w:hint="eastAsia" w:ascii="宋体" w:hAnsi="宋体" w:cs="宋体"/>
                <w:bCs/>
                <w:color w:val="auto"/>
                <w:szCs w:val="21"/>
                <w:lang w:val="zh-CN"/>
              </w:rPr>
              <w:t>最高限价</w:t>
            </w:r>
          </w:p>
        </w:tc>
        <w:tc>
          <w:tcPr>
            <w:tcW w:w="6739" w:type="dxa"/>
            <w:vAlign w:val="center"/>
          </w:tcPr>
          <w:p w14:paraId="0463BCC0">
            <w:pPr>
              <w:keepNext w:val="0"/>
              <w:keepLines w:val="0"/>
              <w:pageBreakBefore w:val="0"/>
              <w:widowControl w:val="0"/>
              <w:kinsoku/>
              <w:wordWrap/>
              <w:overflowPunct/>
              <w:topLinePunct w:val="0"/>
              <w:autoSpaceDE w:val="0"/>
              <w:autoSpaceDN w:val="0"/>
              <w:bidi w:val="0"/>
              <w:spacing w:line="440" w:lineRule="exact"/>
              <w:ind w:right="-11"/>
              <w:contextualSpacing/>
              <w:textAlignment w:val="auto"/>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管线使用费第一阶梯单价（日均供水量小于等于2万m³）3.3元/m³；</w:t>
            </w:r>
          </w:p>
          <w:p w14:paraId="1E6CF47F">
            <w:pPr>
              <w:keepNext w:val="0"/>
              <w:keepLines w:val="0"/>
              <w:pageBreakBefore w:val="0"/>
              <w:widowControl w:val="0"/>
              <w:kinsoku/>
              <w:wordWrap/>
              <w:overflowPunct/>
              <w:topLinePunct w:val="0"/>
              <w:autoSpaceDE w:val="0"/>
              <w:autoSpaceDN w:val="0"/>
              <w:bidi w:val="0"/>
              <w:spacing w:line="440" w:lineRule="exact"/>
              <w:ind w:right="-11"/>
              <w:contextualSpacing/>
              <w:textAlignment w:val="auto"/>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管线使用费第二阶梯单价（日均供水量超过2万m³部分）0.9元/m³。</w:t>
            </w:r>
          </w:p>
        </w:tc>
      </w:tr>
      <w:tr w14:paraId="71C3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D3CCF04">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7</w:t>
            </w:r>
          </w:p>
        </w:tc>
        <w:tc>
          <w:tcPr>
            <w:tcW w:w="2268" w:type="dxa"/>
            <w:vAlign w:val="center"/>
          </w:tcPr>
          <w:p w14:paraId="231F8FD4">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color w:val="auto"/>
                <w:szCs w:val="21"/>
                <w:lang w:val="zh-CN"/>
              </w:rPr>
            </w:pPr>
            <w:r>
              <w:rPr>
                <w:rFonts w:hint="eastAsia" w:ascii="宋体" w:hAnsi="宋体" w:cs="宋体"/>
                <w:bCs/>
                <w:color w:val="auto"/>
                <w:szCs w:val="21"/>
                <w:lang w:val="zh-CN"/>
              </w:rPr>
              <w:t>现场考察</w:t>
            </w:r>
          </w:p>
        </w:tc>
        <w:tc>
          <w:tcPr>
            <w:tcW w:w="6739" w:type="dxa"/>
            <w:vAlign w:val="center"/>
          </w:tcPr>
          <w:p w14:paraId="0DC40E40">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color w:val="auto"/>
                <w:kern w:val="0"/>
                <w:szCs w:val="21"/>
                <w:lang w:val="zh-CN"/>
              </w:rPr>
            </w:pPr>
            <w:r>
              <w:rPr>
                <w:rFonts w:hint="eastAsia" w:ascii="宋体" w:hAnsi="宋体" w:cs="宋体"/>
                <w:b/>
                <w:color w:val="auto"/>
                <w:kern w:val="0"/>
                <w:szCs w:val="21"/>
                <w:lang w:val="zh-CN"/>
              </w:rPr>
              <w:fldChar w:fldCharType="begin"/>
            </w:r>
            <w:r>
              <w:rPr>
                <w:rFonts w:hint="eastAsia" w:ascii="宋体" w:hAnsi="宋体" w:cs="宋体"/>
                <w:b/>
                <w:color w:val="auto"/>
                <w:kern w:val="0"/>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szCs w:val="21"/>
                <w:lang w:val="zh-CN"/>
              </w:rPr>
              <w:instrText xml:space="preserve">,√)</w:instrText>
            </w:r>
            <w:r>
              <w:rPr>
                <w:rFonts w:hint="eastAsia" w:ascii="宋体" w:hAnsi="宋体" w:cs="宋体"/>
                <w:b/>
                <w:color w:val="auto"/>
                <w:kern w:val="0"/>
                <w:szCs w:val="21"/>
                <w:lang w:val="zh-CN"/>
              </w:rPr>
              <w:fldChar w:fldCharType="end"/>
            </w:r>
            <w:r>
              <w:rPr>
                <w:rFonts w:hint="eastAsia" w:ascii="宋体" w:hAnsi="宋体" w:cs="宋体"/>
                <w:bCs/>
                <w:color w:val="auto"/>
                <w:szCs w:val="21"/>
                <w:lang w:val="zh-CN"/>
              </w:rPr>
              <w:t>不组织</w:t>
            </w:r>
          </w:p>
          <w:p w14:paraId="4EA0EBCE">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bCs/>
                <w:color w:val="auto"/>
                <w:szCs w:val="21"/>
                <w:lang w:val="zh-CN"/>
              </w:rPr>
            </w:pPr>
            <w:r>
              <w:rPr>
                <w:rFonts w:hint="eastAsia" w:ascii="宋体" w:hAnsi="宋体" w:cs="宋体"/>
                <w:b/>
                <w:bCs/>
                <w:color w:val="auto"/>
                <w:szCs w:val="21"/>
                <w:lang w:val="zh-CN"/>
              </w:rPr>
              <w:t>□</w:t>
            </w:r>
            <w:r>
              <w:rPr>
                <w:rFonts w:hint="eastAsia" w:ascii="宋体" w:hAnsi="宋体" w:cs="宋体"/>
                <w:bCs/>
                <w:color w:val="auto"/>
                <w:szCs w:val="21"/>
                <w:lang w:val="zh-CN"/>
              </w:rPr>
              <w:t>组织，时间：      地点：</w:t>
            </w:r>
          </w:p>
        </w:tc>
      </w:tr>
      <w:tr w14:paraId="04D5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55BBCBF">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8</w:t>
            </w:r>
          </w:p>
        </w:tc>
        <w:tc>
          <w:tcPr>
            <w:tcW w:w="2268" w:type="dxa"/>
            <w:vAlign w:val="center"/>
          </w:tcPr>
          <w:p w14:paraId="77D484C2">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color w:val="auto"/>
                <w:szCs w:val="21"/>
                <w:lang w:val="zh-CN"/>
              </w:rPr>
            </w:pPr>
            <w:r>
              <w:rPr>
                <w:rFonts w:hint="eastAsia" w:ascii="宋体" w:hAnsi="宋体" w:cs="宋体"/>
                <w:bCs/>
                <w:color w:val="auto"/>
                <w:szCs w:val="21"/>
                <w:lang w:val="zh-CN"/>
              </w:rPr>
              <w:t>开标前答疑会</w:t>
            </w:r>
          </w:p>
        </w:tc>
        <w:tc>
          <w:tcPr>
            <w:tcW w:w="6739" w:type="dxa"/>
            <w:vAlign w:val="center"/>
          </w:tcPr>
          <w:p w14:paraId="257EDA9E">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color w:val="auto"/>
                <w:kern w:val="0"/>
                <w:szCs w:val="21"/>
                <w:lang w:val="zh-CN"/>
              </w:rPr>
            </w:pPr>
            <w:r>
              <w:rPr>
                <w:rFonts w:hint="eastAsia" w:ascii="宋体" w:hAnsi="宋体" w:cs="宋体"/>
                <w:b/>
                <w:color w:val="auto"/>
                <w:kern w:val="0"/>
                <w:szCs w:val="21"/>
                <w:lang w:val="zh-CN"/>
              </w:rPr>
              <w:fldChar w:fldCharType="begin"/>
            </w:r>
            <w:r>
              <w:rPr>
                <w:rFonts w:hint="eastAsia" w:ascii="宋体" w:hAnsi="宋体" w:cs="宋体"/>
                <w:b/>
                <w:color w:val="auto"/>
                <w:kern w:val="0"/>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szCs w:val="21"/>
                <w:lang w:val="zh-CN"/>
              </w:rPr>
              <w:instrText xml:space="preserve">,√)</w:instrText>
            </w:r>
            <w:r>
              <w:rPr>
                <w:rFonts w:hint="eastAsia" w:ascii="宋体" w:hAnsi="宋体" w:cs="宋体"/>
                <w:b/>
                <w:color w:val="auto"/>
                <w:kern w:val="0"/>
                <w:szCs w:val="21"/>
                <w:lang w:val="zh-CN"/>
              </w:rPr>
              <w:fldChar w:fldCharType="end"/>
            </w:r>
            <w:r>
              <w:rPr>
                <w:rFonts w:hint="eastAsia" w:ascii="宋体" w:hAnsi="宋体" w:cs="宋体"/>
                <w:bCs/>
                <w:color w:val="auto"/>
                <w:szCs w:val="21"/>
                <w:lang w:val="zh-CN"/>
              </w:rPr>
              <w:t>不召开</w:t>
            </w:r>
          </w:p>
          <w:p w14:paraId="4DB5257F">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bCs/>
                <w:color w:val="auto"/>
                <w:szCs w:val="21"/>
                <w:lang w:val="zh-CN"/>
              </w:rPr>
            </w:pPr>
            <w:r>
              <w:rPr>
                <w:rFonts w:hint="eastAsia" w:ascii="宋体" w:hAnsi="宋体" w:cs="宋体"/>
                <w:bCs/>
                <w:color w:val="auto"/>
                <w:szCs w:val="21"/>
                <w:lang w:val="zh-CN"/>
              </w:rPr>
              <w:t>□召开，时间：      地点：</w:t>
            </w:r>
          </w:p>
        </w:tc>
      </w:tr>
      <w:tr w14:paraId="02E2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C44527E">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9</w:t>
            </w:r>
          </w:p>
        </w:tc>
        <w:tc>
          <w:tcPr>
            <w:tcW w:w="2268" w:type="dxa"/>
            <w:vAlign w:val="center"/>
          </w:tcPr>
          <w:p w14:paraId="4E31F5FB">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进口产品参与</w:t>
            </w:r>
          </w:p>
        </w:tc>
        <w:tc>
          <w:tcPr>
            <w:tcW w:w="6739" w:type="dxa"/>
            <w:vAlign w:val="center"/>
          </w:tcPr>
          <w:p w14:paraId="58523CEF">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color w:val="auto"/>
                <w:szCs w:val="21"/>
              </w:rPr>
            </w:pPr>
            <w:r>
              <w:rPr>
                <w:rFonts w:hint="eastAsia" w:ascii="宋体" w:hAnsi="宋体" w:cs="宋体"/>
                <w:b/>
                <w:color w:val="auto"/>
                <w:kern w:val="0"/>
                <w:szCs w:val="21"/>
                <w:lang w:val="zh-CN"/>
              </w:rPr>
              <w:fldChar w:fldCharType="begin"/>
            </w:r>
            <w:r>
              <w:rPr>
                <w:rFonts w:hint="eastAsia" w:ascii="宋体" w:hAnsi="宋体" w:cs="宋体"/>
                <w:b/>
                <w:color w:val="auto"/>
                <w:kern w:val="0"/>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szCs w:val="21"/>
                <w:lang w:val="zh-CN"/>
              </w:rPr>
              <w:instrText xml:space="preserve">,√)</w:instrText>
            </w:r>
            <w:r>
              <w:rPr>
                <w:rFonts w:hint="eastAsia" w:ascii="宋体" w:hAnsi="宋体" w:cs="宋体"/>
                <w:b/>
                <w:color w:val="auto"/>
                <w:kern w:val="0"/>
                <w:szCs w:val="21"/>
                <w:lang w:val="zh-CN"/>
              </w:rPr>
              <w:fldChar w:fldCharType="end"/>
            </w:r>
            <w:r>
              <w:rPr>
                <w:rFonts w:hint="eastAsia" w:ascii="宋体" w:hAnsi="宋体" w:cs="宋体"/>
                <w:bCs/>
                <w:color w:val="auto"/>
                <w:szCs w:val="21"/>
                <w:lang w:val="zh-CN"/>
              </w:rPr>
              <w:t xml:space="preserve">不允许    </w:t>
            </w:r>
            <w:r>
              <w:rPr>
                <w:rFonts w:hint="eastAsia" w:ascii="宋体" w:hAnsi="宋体" w:cs="宋体"/>
                <w:b/>
                <w:bCs/>
                <w:color w:val="auto"/>
                <w:szCs w:val="21"/>
                <w:lang w:val="zh-CN"/>
              </w:rPr>
              <w:t>□</w:t>
            </w:r>
            <w:r>
              <w:rPr>
                <w:rFonts w:hint="eastAsia" w:ascii="宋体" w:hAnsi="宋体" w:cs="宋体"/>
                <w:color w:val="auto"/>
                <w:szCs w:val="21"/>
              </w:rPr>
              <w:t>允许</w:t>
            </w:r>
          </w:p>
        </w:tc>
      </w:tr>
      <w:tr w14:paraId="401A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A552431">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10</w:t>
            </w:r>
          </w:p>
        </w:tc>
        <w:tc>
          <w:tcPr>
            <w:tcW w:w="2268" w:type="dxa"/>
            <w:vAlign w:val="center"/>
          </w:tcPr>
          <w:p w14:paraId="7E4CCC98">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投标有效期</w:t>
            </w:r>
          </w:p>
        </w:tc>
        <w:tc>
          <w:tcPr>
            <w:tcW w:w="6739" w:type="dxa"/>
            <w:vAlign w:val="center"/>
          </w:tcPr>
          <w:p w14:paraId="0C96468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90天（自提交投标文件的截止之日起算）</w:t>
            </w:r>
          </w:p>
          <w:p w14:paraId="0BBCE151">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中标人投标有效期延至合同验收之日，中标人全部合同义务履行完毕为止。</w:t>
            </w:r>
          </w:p>
        </w:tc>
      </w:tr>
      <w:tr w14:paraId="5EBB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684F27F">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11</w:t>
            </w:r>
          </w:p>
        </w:tc>
        <w:tc>
          <w:tcPr>
            <w:tcW w:w="2268" w:type="dxa"/>
            <w:vAlign w:val="center"/>
          </w:tcPr>
          <w:p w14:paraId="6EB72CD0">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color w:val="auto"/>
                <w:szCs w:val="21"/>
                <w:lang w:val="zh-CN"/>
              </w:rPr>
            </w:pPr>
            <w:r>
              <w:rPr>
                <w:rFonts w:hint="eastAsia" w:ascii="宋体" w:hAnsi="宋体" w:cs="宋体"/>
                <w:bCs/>
                <w:color w:val="auto"/>
                <w:szCs w:val="21"/>
                <w:lang w:val="zh-CN"/>
              </w:rPr>
              <w:t>中标人将本项目的非主体、非关键性</w:t>
            </w:r>
          </w:p>
          <w:p w14:paraId="6122A371">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bCs/>
                <w:color w:val="auto"/>
                <w:szCs w:val="21"/>
                <w:lang w:val="zh-CN"/>
              </w:rPr>
              <w:t>工作分包</w:t>
            </w:r>
          </w:p>
        </w:tc>
        <w:tc>
          <w:tcPr>
            <w:tcW w:w="6739" w:type="dxa"/>
            <w:vAlign w:val="center"/>
          </w:tcPr>
          <w:p w14:paraId="767D0A63">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color w:val="auto"/>
                <w:szCs w:val="21"/>
              </w:rPr>
            </w:pPr>
            <w:r>
              <w:rPr>
                <w:rFonts w:hint="eastAsia" w:ascii="宋体" w:hAnsi="宋体" w:cs="宋体"/>
                <w:b/>
                <w:color w:val="auto"/>
                <w:kern w:val="0"/>
                <w:szCs w:val="21"/>
                <w:lang w:val="zh-CN"/>
              </w:rPr>
              <w:fldChar w:fldCharType="begin"/>
            </w:r>
            <w:r>
              <w:rPr>
                <w:rFonts w:hint="eastAsia" w:ascii="宋体" w:hAnsi="宋体" w:cs="宋体"/>
                <w:b/>
                <w:color w:val="auto"/>
                <w:kern w:val="0"/>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szCs w:val="21"/>
                <w:lang w:val="zh-CN"/>
              </w:rPr>
              <w:instrText xml:space="preserve">,√)</w:instrText>
            </w:r>
            <w:r>
              <w:rPr>
                <w:rFonts w:hint="eastAsia" w:ascii="宋体" w:hAnsi="宋体" w:cs="宋体"/>
                <w:b/>
                <w:color w:val="auto"/>
                <w:kern w:val="0"/>
                <w:szCs w:val="21"/>
                <w:lang w:val="zh-CN"/>
              </w:rPr>
              <w:fldChar w:fldCharType="end"/>
            </w:r>
            <w:r>
              <w:rPr>
                <w:rFonts w:hint="eastAsia" w:ascii="宋体" w:hAnsi="宋体" w:cs="宋体"/>
                <w:bCs/>
                <w:color w:val="auto"/>
                <w:szCs w:val="21"/>
                <w:lang w:val="zh-CN"/>
              </w:rPr>
              <w:t xml:space="preserve">不允许   </w:t>
            </w:r>
            <w:r>
              <w:rPr>
                <w:rFonts w:hint="eastAsia" w:ascii="宋体" w:hAnsi="宋体" w:cs="宋体"/>
                <w:b/>
                <w:bCs/>
                <w:color w:val="auto"/>
                <w:szCs w:val="21"/>
                <w:lang w:val="zh-CN"/>
              </w:rPr>
              <w:t>□</w:t>
            </w:r>
            <w:r>
              <w:rPr>
                <w:rFonts w:hint="eastAsia" w:ascii="宋体" w:hAnsi="宋体" w:cs="宋体"/>
                <w:color w:val="auto"/>
                <w:szCs w:val="21"/>
              </w:rPr>
              <w:t>允许</w:t>
            </w:r>
          </w:p>
        </w:tc>
      </w:tr>
      <w:tr w14:paraId="14D7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383C857">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12</w:t>
            </w:r>
          </w:p>
        </w:tc>
        <w:tc>
          <w:tcPr>
            <w:tcW w:w="2268" w:type="dxa"/>
            <w:vAlign w:val="center"/>
          </w:tcPr>
          <w:p w14:paraId="1EDA9424">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本项目是否采用不见面开标</w:t>
            </w:r>
          </w:p>
        </w:tc>
        <w:tc>
          <w:tcPr>
            <w:tcW w:w="6739" w:type="dxa"/>
            <w:vAlign w:val="center"/>
          </w:tcPr>
          <w:p w14:paraId="205B3CDC">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color w:val="auto"/>
                <w:szCs w:val="21"/>
                <w:lang w:eastAsia="zh-CN"/>
              </w:rPr>
            </w:pPr>
            <w:r>
              <w:rPr>
                <w:rFonts w:hint="eastAsia" w:ascii="宋体" w:hAnsi="宋体" w:cs="宋体"/>
                <w:b/>
                <w:color w:val="auto"/>
                <w:kern w:val="0"/>
                <w:szCs w:val="21"/>
                <w:lang w:val="zh-CN"/>
              </w:rPr>
              <w:fldChar w:fldCharType="begin"/>
            </w:r>
            <w:r>
              <w:rPr>
                <w:rFonts w:hint="eastAsia" w:ascii="宋体" w:hAnsi="宋体" w:cs="宋体"/>
                <w:b/>
                <w:color w:val="auto"/>
                <w:kern w:val="0"/>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szCs w:val="21"/>
                <w:lang w:val="zh-CN"/>
              </w:rPr>
              <w:instrText xml:space="preserve">,√)</w:instrText>
            </w:r>
            <w:r>
              <w:rPr>
                <w:rFonts w:hint="eastAsia" w:ascii="宋体" w:hAnsi="宋体" w:cs="宋体"/>
                <w:b/>
                <w:color w:val="auto"/>
                <w:kern w:val="0"/>
                <w:szCs w:val="21"/>
                <w:lang w:val="zh-CN"/>
              </w:rPr>
              <w:fldChar w:fldCharType="end"/>
            </w:r>
            <w:r>
              <w:rPr>
                <w:rFonts w:hint="eastAsia" w:ascii="宋体" w:hAnsi="宋体" w:cs="宋体"/>
                <w:b/>
                <w:color w:val="auto"/>
                <w:kern w:val="0"/>
                <w:szCs w:val="21"/>
                <w:lang w:val="en-US" w:eastAsia="zh-CN"/>
              </w:rPr>
              <w:t>是</w:t>
            </w:r>
            <w:r>
              <w:rPr>
                <w:rFonts w:hint="eastAsia" w:ascii="宋体" w:hAnsi="宋体" w:cs="宋体"/>
                <w:bCs/>
                <w:color w:val="auto"/>
                <w:szCs w:val="21"/>
                <w:lang w:val="zh-CN"/>
              </w:rPr>
              <w:t xml:space="preserve">   </w:t>
            </w:r>
            <w:r>
              <w:rPr>
                <w:rFonts w:hint="eastAsia" w:ascii="宋体" w:hAnsi="宋体" w:cs="宋体"/>
                <w:b/>
                <w:bCs/>
                <w:color w:val="auto"/>
                <w:szCs w:val="21"/>
                <w:lang w:val="zh-CN"/>
              </w:rPr>
              <w:t>□</w:t>
            </w:r>
            <w:r>
              <w:rPr>
                <w:rFonts w:hint="eastAsia" w:ascii="宋体" w:hAnsi="宋体" w:cs="宋体"/>
                <w:color w:val="auto"/>
                <w:szCs w:val="21"/>
                <w:lang w:val="en-US" w:eastAsia="zh-CN"/>
              </w:rPr>
              <w:t>否</w:t>
            </w:r>
          </w:p>
        </w:tc>
      </w:tr>
      <w:tr w14:paraId="3479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5D13D4F">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13</w:t>
            </w:r>
          </w:p>
        </w:tc>
        <w:tc>
          <w:tcPr>
            <w:tcW w:w="2268" w:type="dxa"/>
            <w:vAlign w:val="center"/>
          </w:tcPr>
          <w:p w14:paraId="7C4D4243">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电子投标文件递交地点</w:t>
            </w:r>
          </w:p>
        </w:tc>
        <w:tc>
          <w:tcPr>
            <w:tcW w:w="6739" w:type="dxa"/>
            <w:vAlign w:val="center"/>
          </w:tcPr>
          <w:p w14:paraId="1D32BDF8">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电子投标文件应按规定在投标截止时间（开标时间）之前成功提交至《全国公共资源交易平台(河南省·许昌市)》公共资源交易系统（http://117.159.53.11:60632/）。</w:t>
            </w:r>
          </w:p>
        </w:tc>
      </w:tr>
      <w:tr w14:paraId="57E9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DE568E3">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14</w:t>
            </w:r>
          </w:p>
        </w:tc>
        <w:tc>
          <w:tcPr>
            <w:tcW w:w="2268" w:type="dxa"/>
            <w:vAlign w:val="center"/>
          </w:tcPr>
          <w:p w14:paraId="7CDB6F35">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color w:val="auto"/>
                <w:szCs w:val="21"/>
                <w:lang w:val="zh-CN"/>
              </w:rPr>
            </w:pPr>
            <w:r>
              <w:rPr>
                <w:rFonts w:hint="eastAsia" w:ascii="宋体" w:hAnsi="宋体" w:cs="宋体"/>
                <w:bCs/>
                <w:color w:val="auto"/>
                <w:szCs w:val="21"/>
                <w:lang w:val="zh-CN"/>
              </w:rPr>
              <w:t>投标截止及</w:t>
            </w:r>
          </w:p>
          <w:p w14:paraId="1C156BA5">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color w:val="auto"/>
                <w:szCs w:val="21"/>
                <w:lang w:val="zh-CN"/>
              </w:rPr>
            </w:pPr>
            <w:r>
              <w:rPr>
                <w:rFonts w:hint="eastAsia" w:ascii="宋体" w:hAnsi="宋体" w:cs="宋体"/>
                <w:bCs/>
                <w:color w:val="auto"/>
                <w:szCs w:val="21"/>
                <w:lang w:val="zh-CN"/>
              </w:rPr>
              <w:t>开标时间</w:t>
            </w:r>
          </w:p>
        </w:tc>
        <w:tc>
          <w:tcPr>
            <w:tcW w:w="6739" w:type="dxa"/>
            <w:vAlign w:val="center"/>
          </w:tcPr>
          <w:p w14:paraId="7CE41DDC">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b/>
                <w:bCs/>
                <w:color w:val="auto"/>
                <w:szCs w:val="21"/>
                <w:lang w:val="zh-CN"/>
              </w:rPr>
            </w:pPr>
            <w:r>
              <w:rPr>
                <w:rFonts w:hint="eastAsia" w:ascii="宋体" w:hAnsi="宋体" w:cs="宋体"/>
                <w:b/>
                <w:color w:val="auto"/>
                <w:szCs w:val="21"/>
                <w:highlight w:val="none"/>
                <w:lang w:eastAsia="zh-CN"/>
              </w:rPr>
              <w:t>2024年</w:t>
            </w:r>
            <w:r>
              <w:rPr>
                <w:rFonts w:hint="eastAsia" w:ascii="宋体" w:hAnsi="宋体" w:cs="宋体"/>
                <w:b/>
                <w:color w:val="auto"/>
                <w:szCs w:val="21"/>
                <w:highlight w:val="none"/>
                <w:lang w:val="en-US" w:eastAsia="zh-CN"/>
              </w:rPr>
              <w:t>11</w:t>
            </w:r>
            <w:r>
              <w:rPr>
                <w:rFonts w:hint="eastAsia" w:ascii="宋体" w:hAnsi="宋体" w:cs="宋体"/>
                <w:b/>
                <w:color w:val="auto"/>
                <w:szCs w:val="21"/>
                <w:highlight w:val="none"/>
                <w:lang w:eastAsia="zh-CN"/>
              </w:rPr>
              <w:t>月</w:t>
            </w:r>
            <w:r>
              <w:rPr>
                <w:rFonts w:hint="eastAsia" w:ascii="宋体" w:hAnsi="宋体" w:cs="宋体"/>
                <w:b/>
                <w:color w:val="auto"/>
                <w:szCs w:val="21"/>
                <w:highlight w:val="none"/>
                <w:lang w:val="en-US" w:eastAsia="zh-CN"/>
              </w:rPr>
              <w:t>28</w:t>
            </w:r>
            <w:r>
              <w:rPr>
                <w:rFonts w:hint="eastAsia" w:ascii="宋体" w:hAnsi="宋体" w:cs="宋体"/>
                <w:b/>
                <w:color w:val="auto"/>
                <w:szCs w:val="21"/>
                <w:highlight w:val="none"/>
                <w:lang w:eastAsia="zh-CN"/>
              </w:rPr>
              <w:t>日</w:t>
            </w:r>
            <w:r>
              <w:rPr>
                <w:rFonts w:hint="eastAsia" w:ascii="宋体" w:hAnsi="宋体" w:cs="宋体"/>
                <w:b/>
                <w:color w:val="auto"/>
                <w:szCs w:val="21"/>
                <w:highlight w:val="none"/>
              </w:rPr>
              <w:t>09时30分</w:t>
            </w:r>
            <w:r>
              <w:rPr>
                <w:rFonts w:hint="eastAsia" w:ascii="宋体" w:hAnsi="宋体" w:cs="宋体"/>
                <w:b/>
                <w:bCs/>
                <w:color w:val="auto"/>
                <w:szCs w:val="21"/>
                <w:highlight w:val="none"/>
                <w:lang w:val="zh-CN"/>
              </w:rPr>
              <w:t>（北京时间）</w:t>
            </w:r>
          </w:p>
        </w:tc>
      </w:tr>
      <w:tr w14:paraId="38F7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E18B0D6">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15</w:t>
            </w:r>
          </w:p>
        </w:tc>
        <w:tc>
          <w:tcPr>
            <w:tcW w:w="2268" w:type="dxa"/>
            <w:vAlign w:val="center"/>
          </w:tcPr>
          <w:p w14:paraId="2FE1D909">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采购人(代理机构)线上开标地点</w:t>
            </w:r>
          </w:p>
        </w:tc>
        <w:tc>
          <w:tcPr>
            <w:tcW w:w="6739" w:type="dxa"/>
            <w:vAlign w:val="center"/>
          </w:tcPr>
          <w:p w14:paraId="4208B4A3">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bCs/>
                <w:color w:val="auto"/>
                <w:szCs w:val="21"/>
                <w:lang w:val="zh-CN"/>
              </w:rPr>
            </w:pPr>
            <w:r>
              <w:rPr>
                <w:rFonts w:hint="eastAsia" w:ascii="宋体" w:hAnsi="宋体" w:cs="宋体"/>
                <w:bCs/>
                <w:color w:val="auto"/>
                <w:szCs w:val="21"/>
                <w:lang w:val="zh-CN"/>
              </w:rPr>
              <w:t>许昌市建安区公共资源交易中心四楼开标</w:t>
            </w:r>
            <w:r>
              <w:rPr>
                <w:rFonts w:hint="eastAsia" w:ascii="宋体" w:hAnsi="宋体" w:cs="宋体"/>
                <w:bCs/>
                <w:color w:val="auto"/>
                <w:szCs w:val="21"/>
                <w:lang w:val="en-US" w:eastAsia="zh-CN"/>
              </w:rPr>
              <w:t>一室</w:t>
            </w:r>
            <w:r>
              <w:rPr>
                <w:rFonts w:hint="eastAsia" w:ascii="宋体" w:hAnsi="宋体" w:cs="宋体"/>
                <w:b/>
                <w:color w:val="auto"/>
                <w:szCs w:val="21"/>
                <w:shd w:val="clear" w:color="000000" w:fill="FFFFFF"/>
              </w:rPr>
              <w:t>（本项目采用远程不见面开标，</w:t>
            </w:r>
            <w:r>
              <w:rPr>
                <w:rFonts w:hint="eastAsia" w:ascii="宋体" w:hAnsi="宋体" w:cs="宋体"/>
                <w:b/>
                <w:color w:val="auto"/>
                <w:szCs w:val="21"/>
                <w:shd w:val="clear" w:color="000000" w:fill="FFFFFF"/>
                <w:lang w:eastAsia="zh-CN"/>
              </w:rPr>
              <w:t>投标人</w:t>
            </w:r>
            <w:r>
              <w:rPr>
                <w:rFonts w:hint="eastAsia" w:ascii="宋体" w:hAnsi="宋体" w:cs="宋体"/>
                <w:b/>
                <w:color w:val="auto"/>
                <w:szCs w:val="21"/>
                <w:shd w:val="clear" w:color="000000" w:fill="FFFFFF"/>
              </w:rPr>
              <w:t>无须到现场。）</w:t>
            </w:r>
          </w:p>
        </w:tc>
      </w:tr>
      <w:tr w14:paraId="451E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C4C43F7">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16</w:t>
            </w:r>
          </w:p>
        </w:tc>
        <w:tc>
          <w:tcPr>
            <w:tcW w:w="2268" w:type="dxa"/>
            <w:vAlign w:val="center"/>
          </w:tcPr>
          <w:p w14:paraId="54D003E3">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color w:val="auto"/>
                <w:szCs w:val="21"/>
                <w:lang w:val="zh-CN"/>
              </w:rPr>
            </w:pPr>
            <w:r>
              <w:rPr>
                <w:rFonts w:hint="eastAsia" w:ascii="宋体" w:hAnsi="宋体" w:cs="宋体"/>
                <w:color w:val="auto"/>
                <w:kern w:val="0"/>
                <w:szCs w:val="21"/>
              </w:rPr>
              <w:t>投标保证金</w:t>
            </w:r>
          </w:p>
        </w:tc>
        <w:tc>
          <w:tcPr>
            <w:tcW w:w="6739" w:type="dxa"/>
            <w:vAlign w:val="center"/>
          </w:tcPr>
          <w:p w14:paraId="4B46568E">
            <w:pPr>
              <w:keepNext w:val="0"/>
              <w:keepLines w:val="0"/>
              <w:pageBreakBefore w:val="0"/>
              <w:widowControl w:val="0"/>
              <w:tabs>
                <w:tab w:val="left" w:pos="1260"/>
              </w:tabs>
              <w:kinsoku/>
              <w:wordWrap/>
              <w:overflowPunct/>
              <w:topLinePunct w:val="0"/>
              <w:autoSpaceDE w:val="0"/>
              <w:autoSpaceDN w:val="0"/>
              <w:bidi w:val="0"/>
              <w:spacing w:line="440" w:lineRule="exact"/>
              <w:contextualSpacing/>
              <w:jc w:val="left"/>
              <w:textAlignment w:val="auto"/>
              <w:rPr>
                <w:rFonts w:ascii="宋体" w:hAnsi="宋体" w:cs="宋体"/>
                <w:bCs/>
                <w:color w:val="auto"/>
                <w:szCs w:val="21"/>
                <w:lang w:val="zh-CN"/>
              </w:rPr>
            </w:pPr>
            <w:r>
              <w:rPr>
                <w:rFonts w:hint="eastAsia" w:ascii="宋体" w:hAnsi="宋体" w:cs="宋体"/>
                <w:b/>
                <w:color w:val="auto"/>
                <w:kern w:val="0"/>
                <w:szCs w:val="21"/>
                <w:lang w:val="zh-CN"/>
              </w:rPr>
              <w:fldChar w:fldCharType="begin"/>
            </w:r>
            <w:r>
              <w:rPr>
                <w:rFonts w:hint="eastAsia" w:ascii="宋体" w:hAnsi="宋体" w:cs="宋体"/>
                <w:b/>
                <w:color w:val="auto"/>
                <w:kern w:val="0"/>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szCs w:val="21"/>
                <w:lang w:val="zh-CN"/>
              </w:rPr>
              <w:instrText xml:space="preserve">,√)</w:instrText>
            </w:r>
            <w:r>
              <w:rPr>
                <w:rFonts w:hint="eastAsia" w:ascii="宋体" w:hAnsi="宋体" w:cs="宋体"/>
                <w:b/>
                <w:color w:val="auto"/>
                <w:kern w:val="0"/>
                <w:szCs w:val="21"/>
                <w:lang w:val="zh-CN"/>
              </w:rPr>
              <w:fldChar w:fldCharType="end"/>
            </w:r>
            <w:r>
              <w:rPr>
                <w:rFonts w:hint="eastAsia" w:ascii="宋体" w:hAnsi="宋体" w:cs="宋体"/>
                <w:bCs/>
                <w:color w:val="auto"/>
                <w:szCs w:val="21"/>
                <w:lang w:val="zh-CN"/>
              </w:rPr>
              <w:t>不收取。</w:t>
            </w:r>
          </w:p>
          <w:p w14:paraId="5CCC5933">
            <w:pPr>
              <w:keepNext w:val="0"/>
              <w:keepLines w:val="0"/>
              <w:pageBreakBefore w:val="0"/>
              <w:widowControl w:val="0"/>
              <w:tabs>
                <w:tab w:val="left" w:pos="1260"/>
              </w:tabs>
              <w:kinsoku/>
              <w:wordWrap/>
              <w:overflowPunct/>
              <w:topLinePunct w:val="0"/>
              <w:autoSpaceDE w:val="0"/>
              <w:autoSpaceDN w:val="0"/>
              <w:bidi w:val="0"/>
              <w:spacing w:line="440" w:lineRule="exact"/>
              <w:contextualSpacing/>
              <w:jc w:val="left"/>
              <w:textAlignment w:val="auto"/>
              <w:rPr>
                <w:rFonts w:ascii="宋体" w:hAnsi="宋体" w:cs="宋体"/>
                <w:color w:val="auto"/>
                <w:spacing w:val="-2"/>
                <w:szCs w:val="21"/>
                <w:lang w:val="zh-CN"/>
              </w:rPr>
            </w:pPr>
            <w:r>
              <w:rPr>
                <w:rFonts w:hint="eastAsia" w:ascii="宋体" w:hAnsi="宋体" w:cs="宋体"/>
                <w:bCs/>
                <w:color w:val="auto"/>
                <w:szCs w:val="21"/>
                <w:lang w:val="zh-CN"/>
              </w:rPr>
              <w:t>投标人应提供投标承诺函。</w:t>
            </w:r>
          </w:p>
        </w:tc>
      </w:tr>
      <w:tr w14:paraId="76ED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E036989">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17</w:t>
            </w:r>
          </w:p>
        </w:tc>
        <w:tc>
          <w:tcPr>
            <w:tcW w:w="2268" w:type="dxa"/>
            <w:vAlign w:val="center"/>
          </w:tcPr>
          <w:p w14:paraId="1FC350D6">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公告发布</w:t>
            </w:r>
          </w:p>
        </w:tc>
        <w:tc>
          <w:tcPr>
            <w:tcW w:w="6739" w:type="dxa"/>
            <w:tcBorders>
              <w:top w:val="single" w:color="auto" w:sz="4" w:space="0"/>
            </w:tcBorders>
            <w:vAlign w:val="center"/>
          </w:tcPr>
          <w:p w14:paraId="1905D0AE">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招标公告、中标公告、变更（更正）公告等相关信息同时在以下网站发布：《中国政府采购网》《河南省政府采购网》《许昌市政府采购网》《全国公共资源交易平台（河南省·许昌市）》</w:t>
            </w:r>
            <w:r>
              <w:rPr>
                <w:rFonts w:hint="eastAsia" w:ascii="宋体" w:hAnsi="宋体" w:eastAsia="宋体" w:cs="仿宋_GB2312"/>
                <w:color w:val="auto"/>
                <w:szCs w:val="21"/>
                <w:highlight w:val="none"/>
                <w:lang w:val="zh-CN"/>
              </w:rPr>
              <w:t>《许昌市建安区人民政府网》。</w:t>
            </w:r>
          </w:p>
        </w:tc>
      </w:tr>
      <w:tr w14:paraId="6EC7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06C3DF2">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18</w:t>
            </w:r>
          </w:p>
        </w:tc>
        <w:tc>
          <w:tcPr>
            <w:tcW w:w="2268" w:type="dxa"/>
            <w:vAlign w:val="center"/>
          </w:tcPr>
          <w:p w14:paraId="6E7C09AA">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采购人澄清或修改招标文件时间</w:t>
            </w:r>
          </w:p>
        </w:tc>
        <w:tc>
          <w:tcPr>
            <w:tcW w:w="6739" w:type="dxa"/>
            <w:vAlign w:val="center"/>
          </w:tcPr>
          <w:p w14:paraId="5EC71C5B">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bCs/>
                <w:color w:val="auto"/>
                <w:szCs w:val="21"/>
                <w:lang w:val="zh-CN"/>
              </w:rPr>
            </w:pPr>
            <w:r>
              <w:rPr>
                <w:rFonts w:hint="eastAsia" w:ascii="宋体" w:hAnsi="宋体" w:cs="宋体"/>
                <w:bCs/>
                <w:color w:val="auto"/>
                <w:szCs w:val="21"/>
                <w:lang w:val="zh-CN"/>
              </w:rPr>
              <w:t>投标截止时间15日前（</w:t>
            </w:r>
            <w:r>
              <w:rPr>
                <w:rFonts w:hint="eastAsia" w:ascii="宋体" w:hAnsi="宋体" w:cs="宋体"/>
                <w:color w:val="auto"/>
                <w:szCs w:val="21"/>
                <w:lang w:val="zh-CN"/>
              </w:rPr>
              <w:t>澄清内容可能影响投标文件编制的）</w:t>
            </w:r>
          </w:p>
        </w:tc>
      </w:tr>
      <w:tr w14:paraId="2A38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152E411">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19</w:t>
            </w:r>
          </w:p>
        </w:tc>
        <w:tc>
          <w:tcPr>
            <w:tcW w:w="2268" w:type="dxa"/>
            <w:vAlign w:val="center"/>
          </w:tcPr>
          <w:p w14:paraId="6C3C4E56">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lang w:eastAsia="zh-CN"/>
              </w:rPr>
              <w:t>投标人</w:t>
            </w:r>
            <w:r>
              <w:rPr>
                <w:rFonts w:hint="eastAsia" w:ascii="宋体" w:hAnsi="宋体" w:cs="宋体"/>
                <w:color w:val="auto"/>
                <w:szCs w:val="21"/>
              </w:rPr>
              <w:t>对采购文件质疑截止时间</w:t>
            </w:r>
          </w:p>
        </w:tc>
        <w:tc>
          <w:tcPr>
            <w:tcW w:w="6739" w:type="dxa"/>
            <w:vAlign w:val="center"/>
          </w:tcPr>
          <w:p w14:paraId="06F9071B">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bCs/>
                <w:color w:val="auto"/>
                <w:szCs w:val="21"/>
                <w:lang w:val="zh-CN"/>
              </w:rPr>
            </w:pPr>
            <w:r>
              <w:rPr>
                <w:rFonts w:hint="eastAsia" w:ascii="宋体" w:hAnsi="宋体" w:cs="宋体"/>
                <w:bCs/>
                <w:color w:val="auto"/>
                <w:szCs w:val="21"/>
                <w:lang w:val="zh-CN"/>
              </w:rPr>
              <w:t>招标公告期满之日起七个工作日</w:t>
            </w:r>
          </w:p>
        </w:tc>
      </w:tr>
      <w:tr w14:paraId="2AE3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9947D78">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20</w:t>
            </w:r>
          </w:p>
        </w:tc>
        <w:tc>
          <w:tcPr>
            <w:tcW w:w="2268" w:type="dxa"/>
            <w:vAlign w:val="center"/>
          </w:tcPr>
          <w:p w14:paraId="4B8239C7">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投标文件份数</w:t>
            </w:r>
          </w:p>
        </w:tc>
        <w:tc>
          <w:tcPr>
            <w:tcW w:w="6739" w:type="dxa"/>
            <w:vAlign w:val="center"/>
          </w:tcPr>
          <w:p w14:paraId="7401108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宋体"/>
                <w:bCs/>
                <w:color w:val="auto"/>
                <w:szCs w:val="21"/>
                <w:lang w:val="zh-CN" w:eastAsia="zh-CN"/>
              </w:rPr>
            </w:pPr>
            <w:r>
              <w:rPr>
                <w:rFonts w:hint="eastAsia" w:ascii="宋体" w:hAnsi="宋体" w:eastAsia="宋体" w:cs="宋体"/>
                <w:bCs/>
                <w:color w:val="auto"/>
                <w:szCs w:val="21"/>
                <w:lang w:val="zh-CN" w:eastAsia="zh-CN"/>
              </w:rPr>
              <w:t>电子响应文件：成功上传至《全国公共资源交易平台（河南省·许昌市）》（http://117.159.53.11:60632/）许昌市公共资源电子交易系统加密电子响应文件1份（后缀格式为.XCSTF）。</w:t>
            </w:r>
          </w:p>
          <w:p w14:paraId="57BD793B">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eastAsia="宋体" w:cs="宋体"/>
                <w:b/>
                <w:bCs w:val="0"/>
                <w:color w:val="auto"/>
                <w:szCs w:val="21"/>
                <w:lang w:val="zh-CN"/>
              </w:rPr>
              <w:t>注：投标人登录《全国公共资源交易平台（河南省·许昌市）》下载“新点投标文件制作软件（河南省版）”</w:t>
            </w:r>
            <w:r>
              <w:rPr>
                <w:rFonts w:hint="eastAsia" w:ascii="宋体" w:hAnsi="宋体" w:eastAsia="宋体" w:cs="宋体"/>
                <w:b/>
                <w:bCs w:val="0"/>
                <w:color w:val="auto"/>
                <w:szCs w:val="21"/>
                <w:lang w:val="zh-CN" w:eastAsia="zh-CN"/>
              </w:rPr>
              <w:t>的最新版本</w:t>
            </w:r>
            <w:r>
              <w:rPr>
                <w:rFonts w:hint="eastAsia" w:ascii="宋体" w:hAnsi="宋体" w:eastAsia="宋体" w:cs="宋体"/>
                <w:b/>
                <w:bCs w:val="0"/>
                <w:color w:val="auto"/>
                <w:szCs w:val="21"/>
                <w:lang w:val="zh-CN"/>
              </w:rPr>
              <w:t>制作电子响应文件。</w:t>
            </w:r>
          </w:p>
        </w:tc>
      </w:tr>
      <w:tr w14:paraId="349E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D97F235">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21</w:t>
            </w:r>
          </w:p>
        </w:tc>
        <w:tc>
          <w:tcPr>
            <w:tcW w:w="2268" w:type="dxa"/>
            <w:vAlign w:val="center"/>
          </w:tcPr>
          <w:p w14:paraId="7059D1F9">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投标文件的</w:t>
            </w:r>
          </w:p>
          <w:p w14:paraId="069475D9">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签署盖章</w:t>
            </w:r>
          </w:p>
        </w:tc>
        <w:tc>
          <w:tcPr>
            <w:tcW w:w="6739" w:type="dxa"/>
            <w:vAlign w:val="center"/>
          </w:tcPr>
          <w:p w14:paraId="20A4C4BA">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color w:val="auto"/>
                <w:szCs w:val="21"/>
              </w:rPr>
            </w:pPr>
            <w:r>
              <w:rPr>
                <w:rFonts w:hint="eastAsia" w:ascii="宋体" w:hAnsi="宋体" w:cs="宋体"/>
                <w:color w:val="auto"/>
                <w:szCs w:val="21"/>
              </w:rPr>
              <w:t>电子投标文件：按招标文件要求加盖</w:t>
            </w:r>
            <w:r>
              <w:rPr>
                <w:rFonts w:hint="eastAsia" w:ascii="宋体" w:hAnsi="宋体" w:cs="宋体"/>
                <w:color w:val="auto"/>
                <w:szCs w:val="21"/>
                <w:lang w:eastAsia="zh-CN"/>
              </w:rPr>
              <w:t>投标人</w:t>
            </w:r>
            <w:r>
              <w:rPr>
                <w:rFonts w:hint="eastAsia" w:ascii="宋体" w:hAnsi="宋体" w:cs="宋体"/>
                <w:color w:val="auto"/>
                <w:szCs w:val="21"/>
              </w:rPr>
              <w:t>电子印章和</w:t>
            </w:r>
            <w:r>
              <w:rPr>
                <w:rFonts w:hint="eastAsia" w:ascii="宋体" w:hAnsi="宋体" w:cs="宋体"/>
                <w:color w:val="auto"/>
                <w:szCs w:val="21"/>
                <w:highlight w:val="none"/>
                <w:lang w:val="en-US" w:eastAsia="zh-CN"/>
              </w:rPr>
              <w:t>法定代表人</w:t>
            </w:r>
            <w:r>
              <w:rPr>
                <w:rFonts w:hint="eastAsia" w:ascii="宋体" w:hAnsi="宋体" w:cs="宋体"/>
                <w:color w:val="auto"/>
                <w:szCs w:val="21"/>
                <w:highlight w:val="none"/>
              </w:rPr>
              <w:t>电子印章。</w:t>
            </w:r>
          </w:p>
        </w:tc>
      </w:tr>
      <w:tr w14:paraId="4DD6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32B772A">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22</w:t>
            </w:r>
          </w:p>
        </w:tc>
        <w:tc>
          <w:tcPr>
            <w:tcW w:w="2268" w:type="dxa"/>
            <w:vAlign w:val="center"/>
          </w:tcPr>
          <w:p w14:paraId="7428666E">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开标程序</w:t>
            </w:r>
          </w:p>
        </w:tc>
        <w:tc>
          <w:tcPr>
            <w:tcW w:w="6739" w:type="dxa"/>
          </w:tcPr>
          <w:p w14:paraId="74DC61AC">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en-US" w:eastAsia="zh-CN"/>
              </w:rPr>
              <w:t>1.</w:t>
            </w:r>
            <w:r>
              <w:rPr>
                <w:rFonts w:hint="eastAsia" w:ascii="宋体" w:hAnsi="宋体" w:cs="宋体"/>
                <w:bCs/>
                <w:color w:val="auto"/>
                <w:szCs w:val="21"/>
                <w:lang w:val="zh-CN"/>
              </w:rPr>
              <w:t>本项目采用远程“不见面”开标方式，投标前请详细阅读“全国公共资源交易平台（河南省·许昌市）”的“服务指南”栏目下《必看！新交易平台使用手册》中的相关内容。</w:t>
            </w:r>
          </w:p>
          <w:p w14:paraId="6537FE88">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en-US" w:eastAsia="zh-CN"/>
              </w:rPr>
              <w:t>2.</w:t>
            </w:r>
            <w:r>
              <w:rPr>
                <w:rFonts w:hint="eastAsia" w:ascii="宋体" w:hAnsi="宋体" w:cs="宋体"/>
                <w:bCs/>
                <w:color w:val="auto"/>
                <w:szCs w:val="21"/>
                <w:lang w:val="zh-CN"/>
              </w:rPr>
              <w:t>供应商应按新交易平台使用手册提前设置好浏览器，并于</w:t>
            </w:r>
            <w:bookmarkStart w:id="25" w:name="_GoBack"/>
            <w:r>
              <w:rPr>
                <w:rFonts w:hint="eastAsia" w:ascii="宋体" w:hAnsi="宋体" w:cs="宋体"/>
                <w:bCs/>
                <w:color w:val="auto"/>
                <w:szCs w:val="21"/>
                <w:lang w:val="zh-CN"/>
              </w:rPr>
              <w:t>开标</w:t>
            </w:r>
            <w:bookmarkEnd w:id="25"/>
            <w:r>
              <w:rPr>
                <w:rFonts w:hint="eastAsia" w:ascii="宋体" w:hAnsi="宋体" w:cs="宋体"/>
                <w:bCs/>
                <w:color w:val="auto"/>
                <w:szCs w:val="21"/>
                <w:lang w:val="zh-CN"/>
              </w:rPr>
              <w:t>时间前登录本项目网上开标大厅，按照规定的开标时间准时参加网上开标。</w:t>
            </w:r>
          </w:p>
          <w:p w14:paraId="364B198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en-US" w:eastAsia="zh-CN"/>
              </w:rPr>
              <w:t>3.</w:t>
            </w:r>
            <w:r>
              <w:rPr>
                <w:rFonts w:hint="eastAsia" w:ascii="宋体" w:hAnsi="宋体" w:cs="宋体"/>
                <w:bCs/>
                <w:color w:val="auto"/>
                <w:szCs w:val="21"/>
                <w:lang w:val="zh-CN"/>
              </w:rPr>
              <w:t>根据开标大厅界面右侧“公告栏”中的系统提示，投标人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投标人未解密或因投标人原因解密失败的，其响应文件将被退回。</w:t>
            </w:r>
          </w:p>
          <w:p w14:paraId="0F540ECA">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en-US" w:eastAsia="zh-CN"/>
              </w:rPr>
              <w:t>4.</w:t>
            </w:r>
            <w:r>
              <w:rPr>
                <w:rFonts w:hint="eastAsia" w:ascii="宋体" w:hAnsi="宋体" w:cs="宋体"/>
                <w:bCs/>
                <w:color w:val="auto"/>
                <w:szCs w:val="21"/>
                <w:lang w:val="zh-CN"/>
              </w:rPr>
              <w:t>在“唱标”环节，供应商应对唱标信息进行确认，供应商未进行唱标确认操作的，视同认可唱标结果。</w:t>
            </w:r>
          </w:p>
          <w:p w14:paraId="46FB25AE">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en-US" w:eastAsia="zh-CN"/>
              </w:rPr>
              <w:t>5.</w:t>
            </w:r>
            <w:r>
              <w:rPr>
                <w:rFonts w:hint="eastAsia" w:ascii="宋体" w:hAnsi="宋体" w:cs="宋体"/>
                <w:bCs/>
                <w:color w:val="auto"/>
                <w:szCs w:val="21"/>
                <w:lang w:val="zh-CN"/>
              </w:rPr>
              <w:t>在“开标结束”环节，供应商应在《开标情况记录表》上进行电子签章。供应商未签章的，视同认可开标结果。</w:t>
            </w:r>
          </w:p>
          <w:p w14:paraId="7817F3A0">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en-US" w:eastAsia="zh-CN"/>
              </w:rPr>
              <w:t>6.</w:t>
            </w:r>
            <w:r>
              <w:rPr>
                <w:rFonts w:hint="eastAsia" w:ascii="宋体" w:hAnsi="宋体" w:cs="宋体"/>
                <w:bCs/>
                <w:color w:val="auto"/>
                <w:szCs w:val="21"/>
                <w:lang w:val="zh-CN"/>
              </w:rPr>
              <w:t>供应商对开标过程和开标记录如有异议，可在本项目开标大厅界面右下方“发起异议”中提出异议。</w:t>
            </w:r>
          </w:p>
        </w:tc>
      </w:tr>
      <w:tr w14:paraId="2C68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D7134A4">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23</w:t>
            </w:r>
          </w:p>
        </w:tc>
        <w:tc>
          <w:tcPr>
            <w:tcW w:w="2268" w:type="dxa"/>
            <w:vAlign w:val="center"/>
          </w:tcPr>
          <w:p w14:paraId="20BE9B01">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评标委员会组建</w:t>
            </w:r>
          </w:p>
        </w:tc>
        <w:tc>
          <w:tcPr>
            <w:tcW w:w="6739" w:type="dxa"/>
            <w:vAlign w:val="center"/>
          </w:tcPr>
          <w:p w14:paraId="3C2FE194">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由采购人代表和评审专家</w:t>
            </w:r>
            <w:r>
              <w:rPr>
                <w:rFonts w:hint="eastAsia" w:ascii="宋体" w:hAnsi="宋体" w:cs="宋体"/>
                <w:bCs/>
                <w:color w:val="auto"/>
                <w:szCs w:val="21"/>
                <w:lang w:val="en-US" w:eastAsia="zh-CN"/>
              </w:rPr>
              <w:t>共9</w:t>
            </w:r>
            <w:r>
              <w:rPr>
                <w:rFonts w:hint="eastAsia" w:ascii="宋体" w:hAnsi="宋体" w:cs="宋体"/>
                <w:bCs/>
                <w:color w:val="auto"/>
                <w:szCs w:val="21"/>
                <w:lang w:val="zh-CN"/>
              </w:rPr>
              <w:t>人组成，其中评审专家的人数不少于评标委员会成员总数的三分之二。评审专家从政府采购评审专家库中随机抽取。</w:t>
            </w:r>
          </w:p>
        </w:tc>
      </w:tr>
      <w:tr w14:paraId="2C69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3489AE6">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24</w:t>
            </w:r>
          </w:p>
        </w:tc>
        <w:tc>
          <w:tcPr>
            <w:tcW w:w="2268" w:type="dxa"/>
            <w:vAlign w:val="center"/>
          </w:tcPr>
          <w:p w14:paraId="5C2FF801">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color w:val="auto"/>
                <w:szCs w:val="21"/>
                <w:lang w:val="zh-CN"/>
              </w:rPr>
            </w:pPr>
            <w:r>
              <w:rPr>
                <w:rFonts w:hint="eastAsia" w:ascii="宋体" w:hAnsi="宋体" w:cs="宋体"/>
                <w:color w:val="auto"/>
                <w:szCs w:val="21"/>
              </w:rPr>
              <w:t>评标方法</w:t>
            </w:r>
          </w:p>
        </w:tc>
        <w:tc>
          <w:tcPr>
            <w:tcW w:w="6739" w:type="dxa"/>
            <w:vAlign w:val="center"/>
          </w:tcPr>
          <w:p w14:paraId="157131A1">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bCs/>
                <w:color w:val="auto"/>
                <w:szCs w:val="21"/>
                <w:lang w:val="zh-CN"/>
              </w:rPr>
            </w:pPr>
            <w:r>
              <w:rPr>
                <w:rFonts w:hint="eastAsia" w:ascii="宋体" w:hAnsi="宋体" w:cs="宋体"/>
                <w:b/>
                <w:color w:val="auto"/>
                <w:kern w:val="0"/>
                <w:szCs w:val="21"/>
                <w:lang w:val="zh-CN"/>
              </w:rPr>
              <w:fldChar w:fldCharType="begin"/>
            </w:r>
            <w:r>
              <w:rPr>
                <w:rFonts w:hint="eastAsia" w:ascii="宋体" w:hAnsi="宋体" w:cs="宋体"/>
                <w:b/>
                <w:color w:val="auto"/>
                <w:kern w:val="0"/>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szCs w:val="21"/>
                <w:lang w:val="zh-CN"/>
              </w:rPr>
              <w:instrText xml:space="preserve">,√)</w:instrText>
            </w:r>
            <w:r>
              <w:rPr>
                <w:rFonts w:hint="eastAsia" w:ascii="宋体" w:hAnsi="宋体" w:cs="宋体"/>
                <w:b/>
                <w:color w:val="auto"/>
                <w:kern w:val="0"/>
                <w:szCs w:val="21"/>
                <w:lang w:val="zh-CN"/>
              </w:rPr>
              <w:fldChar w:fldCharType="end"/>
            </w:r>
            <w:r>
              <w:rPr>
                <w:rFonts w:hint="eastAsia" w:ascii="宋体" w:hAnsi="宋体" w:cs="宋体"/>
                <w:bCs/>
                <w:color w:val="auto"/>
                <w:szCs w:val="21"/>
                <w:lang w:val="zh-CN"/>
              </w:rPr>
              <w:t>综合评分法</w:t>
            </w:r>
            <w:r>
              <w:rPr>
                <w:rFonts w:hint="eastAsia" w:ascii="宋体" w:hAnsi="宋体" w:cs="宋体"/>
                <w:b/>
                <w:bCs/>
                <w:color w:val="auto"/>
                <w:szCs w:val="21"/>
                <w:lang w:val="zh-CN"/>
              </w:rPr>
              <w:t>□</w:t>
            </w:r>
            <w:r>
              <w:rPr>
                <w:rFonts w:hint="eastAsia" w:ascii="宋体" w:hAnsi="宋体" w:cs="宋体"/>
                <w:color w:val="auto"/>
                <w:szCs w:val="21"/>
                <w:lang w:val="zh-CN"/>
              </w:rPr>
              <w:t>最低评标价法</w:t>
            </w:r>
          </w:p>
        </w:tc>
      </w:tr>
      <w:tr w14:paraId="1905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D02C039">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25</w:t>
            </w:r>
          </w:p>
        </w:tc>
        <w:tc>
          <w:tcPr>
            <w:tcW w:w="2268" w:type="dxa"/>
            <w:vAlign w:val="center"/>
          </w:tcPr>
          <w:p w14:paraId="6AD96FF4">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中小企业有关政策</w:t>
            </w:r>
          </w:p>
        </w:tc>
        <w:tc>
          <w:tcPr>
            <w:tcW w:w="6739" w:type="dxa"/>
            <w:vAlign w:val="center"/>
          </w:tcPr>
          <w:p w14:paraId="57284205">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77C69232">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2.本次采购标的对应的中小企业划分标准所属行业：其他未列明行业</w:t>
            </w:r>
          </w:p>
          <w:p w14:paraId="28346496">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3.根据财政部、工业和信息化部发布的《政府采购促进中小企业发展管理办法》（财库〔2020〕46号）、《关于进一步加大政府采购支持中小企业力度的通知》（财库〔2022〕19号）规定，对小型和微型企业投标价格给予20%的扣除，用扣除后的价格参与评审。</w:t>
            </w:r>
          </w:p>
          <w:p w14:paraId="4841A8E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4.以联合体形式参加政府采购活动，联合体各方均为中小企业的，联合体视同中小企业。其中，联合体各方均为小微企业的，联合体视同小微企业。</w:t>
            </w:r>
          </w:p>
          <w:p w14:paraId="2BE3CAAB">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s="宋体"/>
                <w:bCs/>
                <w:color w:val="auto"/>
                <w:szCs w:val="21"/>
                <w:lang w:val="en-US" w:eastAsia="zh-CN"/>
              </w:rPr>
              <w:t>6</w:t>
            </w:r>
            <w:r>
              <w:rPr>
                <w:rFonts w:hint="eastAsia" w:ascii="宋体" w:hAnsi="宋体" w:cs="宋体"/>
                <w:bCs/>
                <w:color w:val="auto"/>
                <w:szCs w:val="21"/>
                <w:lang w:val="zh-CN"/>
              </w:rPr>
              <w:t>%（4%—6%）的扣除，用扣除后的价格参加评审。组成联合体或者接受分包的小微企业与联合体内其他企业、分包企业之间存在直接控股、管理关系的，不享受价格扣除优惠政策。</w:t>
            </w:r>
          </w:p>
          <w:p w14:paraId="2F456F48">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6.提供由省级以上监狱管理局、戒毒管理局（含新疆生产建设兵团）出具的属于监狱企业证明文件的，视同为小型和微型企业。</w:t>
            </w:r>
          </w:p>
          <w:p w14:paraId="105A47B0">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7.符合享受政府采购支持政策的残疾人福利性单位条件且提供《残疾人福利性单位声明函》的，视同为小型和微型企业。</w:t>
            </w:r>
          </w:p>
        </w:tc>
      </w:tr>
      <w:tr w14:paraId="040D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95D7717">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26</w:t>
            </w:r>
          </w:p>
        </w:tc>
        <w:tc>
          <w:tcPr>
            <w:tcW w:w="2268" w:type="dxa"/>
            <w:vAlign w:val="center"/>
          </w:tcPr>
          <w:p w14:paraId="2C41A92A">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节能环保要求</w:t>
            </w:r>
          </w:p>
        </w:tc>
        <w:tc>
          <w:tcPr>
            <w:tcW w:w="6739" w:type="dxa"/>
            <w:vAlign w:val="center"/>
          </w:tcPr>
          <w:p w14:paraId="03804E55">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认证证书，否则投标无效；属于政府优先采购产品类别的，须按照要求提供依据国家确定的认证机构出具的、处于有效期之内的节能产品、环境标志产品认证证书，否则不予认定。</w:t>
            </w:r>
          </w:p>
        </w:tc>
      </w:tr>
      <w:tr w14:paraId="203F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3CC0DD2">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27</w:t>
            </w:r>
          </w:p>
        </w:tc>
        <w:tc>
          <w:tcPr>
            <w:tcW w:w="2268" w:type="dxa"/>
            <w:vAlign w:val="center"/>
          </w:tcPr>
          <w:p w14:paraId="29E29FEF">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ascii="宋体" w:hAnsi="宋体" w:cs="宋体"/>
                <w:color w:val="auto"/>
                <w:szCs w:val="21"/>
              </w:rPr>
              <w:t>网络关键设备、网络安 全专用产品要求</w:t>
            </w:r>
          </w:p>
        </w:tc>
        <w:tc>
          <w:tcPr>
            <w:tcW w:w="6739" w:type="dxa"/>
            <w:vAlign w:val="center"/>
          </w:tcPr>
          <w:p w14:paraId="21726B8E">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en-US" w:eastAsia="zh-CN"/>
              </w:rPr>
              <w:t>1、</w:t>
            </w:r>
            <w:r>
              <w:rPr>
                <w:rFonts w:hint="eastAsia" w:ascii="宋体" w:hAnsi="宋体" w:cs="宋体"/>
                <w:bCs/>
                <w:color w:val="auto"/>
                <w:szCs w:val="21"/>
                <w:lang w:val="zh-CN"/>
              </w:rPr>
              <w:t xml:space="preserve">本项目网络关键设备：（无）；网络安全专用产品：（无） </w:t>
            </w:r>
          </w:p>
          <w:p w14:paraId="6D71294C">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en-US" w:eastAsia="zh-CN"/>
              </w:rPr>
              <w:t>2、</w:t>
            </w:r>
            <w:r>
              <w:rPr>
                <w:rFonts w:hint="eastAsia" w:ascii="宋体" w:hAnsi="宋体" w:cs="宋体"/>
                <w:bCs/>
                <w:color w:val="auto"/>
                <w:szCs w:val="21"/>
                <w:lang w:val="zh-CN"/>
              </w:rPr>
              <w:t xml:space="preserve">本项目中涉及网络关键设备或网络安全专用产品的，执行国家互联网信息办公室、工业和信息化部、公安部和国家认证认可监督管理委员会2023年第2号《关于调整&lt;网络关键设备和网络安全专用产品目录&gt;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 </w:t>
            </w:r>
          </w:p>
          <w:p w14:paraId="4B05E155">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3、提供资料（下列资料任意一项） ①网络关键设备和网络安全专用产品安全认证证书； ②网络关键设备安全检测证书、网络安全专用产品安全检测证书； 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408D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1D10B02">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28</w:t>
            </w:r>
          </w:p>
        </w:tc>
        <w:tc>
          <w:tcPr>
            <w:tcW w:w="2268" w:type="dxa"/>
            <w:vAlign w:val="center"/>
          </w:tcPr>
          <w:p w14:paraId="6C983729">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color w:val="auto"/>
                <w:szCs w:val="21"/>
                <w:lang w:val="zh-CN"/>
              </w:rPr>
            </w:pPr>
            <w:r>
              <w:rPr>
                <w:rFonts w:hint="eastAsia" w:ascii="宋体" w:hAnsi="宋体" w:cs="宋体"/>
                <w:bCs/>
                <w:color w:val="auto"/>
                <w:szCs w:val="21"/>
                <w:lang w:val="zh-CN"/>
              </w:rPr>
              <w:t>履约保证金</w:t>
            </w:r>
          </w:p>
        </w:tc>
        <w:tc>
          <w:tcPr>
            <w:tcW w:w="6739" w:type="dxa"/>
            <w:vAlign w:val="center"/>
          </w:tcPr>
          <w:p w14:paraId="49D4DE69">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s="宋体"/>
                <w:color w:val="auto"/>
                <w:kern w:val="0"/>
                <w:szCs w:val="21"/>
                <w:lang w:val="zh-CN"/>
              </w:rPr>
            </w:pPr>
            <w:r>
              <w:rPr>
                <w:rFonts w:hint="eastAsia" w:ascii="宋体" w:hAnsi="宋体" w:cs="宋体"/>
                <w:b/>
                <w:color w:val="auto"/>
                <w:kern w:val="0"/>
                <w:szCs w:val="21"/>
                <w:lang w:val="zh-CN"/>
              </w:rPr>
              <w:fldChar w:fldCharType="begin"/>
            </w:r>
            <w:r>
              <w:rPr>
                <w:rFonts w:hint="eastAsia" w:ascii="宋体" w:hAnsi="宋体" w:cs="宋体"/>
                <w:b/>
                <w:color w:val="auto"/>
                <w:kern w:val="0"/>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szCs w:val="21"/>
                <w:lang w:val="zh-CN"/>
              </w:rPr>
              <w:instrText xml:space="preserve">,√)</w:instrText>
            </w:r>
            <w:r>
              <w:rPr>
                <w:rFonts w:hint="eastAsia" w:ascii="宋体" w:hAnsi="宋体" w:cs="宋体"/>
                <w:b/>
                <w:color w:val="auto"/>
                <w:kern w:val="0"/>
                <w:szCs w:val="21"/>
                <w:lang w:val="zh-CN"/>
              </w:rPr>
              <w:fldChar w:fldCharType="end"/>
            </w:r>
            <w:r>
              <w:rPr>
                <w:rFonts w:hint="eastAsia" w:ascii="宋体" w:hAnsi="宋体" w:cs="宋体"/>
                <w:bCs/>
                <w:color w:val="auto"/>
                <w:szCs w:val="21"/>
                <w:lang w:val="zh-CN"/>
              </w:rPr>
              <w:t>无要求</w:t>
            </w:r>
          </w:p>
        </w:tc>
      </w:tr>
      <w:tr w14:paraId="3984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E509F9A">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color w:val="auto"/>
                <w:szCs w:val="21"/>
              </w:rPr>
            </w:pPr>
            <w:r>
              <w:rPr>
                <w:rFonts w:hint="eastAsia" w:ascii="宋体" w:hAnsi="宋体" w:cs="宋体"/>
                <w:color w:val="auto"/>
                <w:szCs w:val="21"/>
              </w:rPr>
              <w:t>29</w:t>
            </w:r>
          </w:p>
        </w:tc>
        <w:tc>
          <w:tcPr>
            <w:tcW w:w="2268" w:type="dxa"/>
            <w:vAlign w:val="center"/>
          </w:tcPr>
          <w:p w14:paraId="449D608B">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color w:val="auto"/>
                <w:szCs w:val="21"/>
                <w:lang w:val="zh-CN"/>
              </w:rPr>
            </w:pPr>
            <w:r>
              <w:rPr>
                <w:rFonts w:hint="eastAsia" w:ascii="宋体" w:hAnsi="宋体" w:cs="宋体"/>
                <w:bCs/>
                <w:color w:val="auto"/>
                <w:szCs w:val="21"/>
                <w:lang w:val="zh-CN"/>
              </w:rPr>
              <w:t>代理服务费</w:t>
            </w:r>
          </w:p>
        </w:tc>
        <w:tc>
          <w:tcPr>
            <w:tcW w:w="6739" w:type="dxa"/>
            <w:vAlign w:val="center"/>
          </w:tcPr>
          <w:p w14:paraId="16BA165E">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fldChar w:fldCharType="begin"/>
            </w:r>
            <w:r>
              <w:rPr>
                <w:rFonts w:hint="eastAsia" w:ascii="宋体" w:hAnsi="宋体" w:eastAsia="宋体" w:cs="仿宋_GB2312"/>
                <w:color w:val="auto"/>
                <w:szCs w:val="21"/>
                <w:lang w:val="zh-CN"/>
              </w:rPr>
              <w:instrText xml:space="preserve">eq \o\ac(□,√)</w:instrText>
            </w:r>
            <w:r>
              <w:rPr>
                <w:rFonts w:hint="eastAsia" w:ascii="宋体" w:hAnsi="宋体" w:eastAsia="宋体" w:cs="仿宋_GB2312"/>
                <w:color w:val="auto"/>
                <w:szCs w:val="21"/>
                <w:lang w:val="zh-CN"/>
              </w:rPr>
              <w:fldChar w:fldCharType="end"/>
            </w:r>
            <w:r>
              <w:rPr>
                <w:rFonts w:hint="eastAsia" w:ascii="宋体" w:hAnsi="宋体" w:eastAsia="宋体" w:cs="仿宋_GB2312"/>
                <w:color w:val="auto"/>
                <w:szCs w:val="21"/>
                <w:lang w:val="zh-CN"/>
              </w:rPr>
              <w:t>收取中标人。</w:t>
            </w:r>
          </w:p>
          <w:p w14:paraId="69186C29">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收取标准</w:t>
            </w:r>
            <w:r>
              <w:rPr>
                <w:rFonts w:hint="eastAsia" w:ascii="宋体" w:hAnsi="宋体" w:cs="仿宋_GB2312"/>
                <w:color w:val="auto"/>
                <w:szCs w:val="21"/>
                <w:lang w:val="zh-CN"/>
              </w:rPr>
              <w:t>：</w:t>
            </w:r>
            <w:r>
              <w:rPr>
                <w:rFonts w:hint="eastAsia" w:ascii="宋体" w:hAnsi="宋体" w:eastAsia="宋体" w:cs="仿宋_GB2312"/>
                <w:color w:val="auto"/>
                <w:szCs w:val="21"/>
                <w:lang w:val="zh-CN" w:eastAsia="zh-CN"/>
              </w:rPr>
              <w:t>按豫招协【2023】002号文件。一次性以银行划账、电汇、汇票或支票的形式支付。</w:t>
            </w:r>
          </w:p>
        </w:tc>
      </w:tr>
      <w:tr w14:paraId="423B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F450426">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color w:val="auto"/>
                <w:szCs w:val="21"/>
              </w:rPr>
            </w:pPr>
            <w:r>
              <w:rPr>
                <w:rFonts w:hint="eastAsia" w:ascii="宋体" w:hAnsi="宋体" w:cs="宋体"/>
                <w:color w:val="auto"/>
                <w:szCs w:val="21"/>
              </w:rPr>
              <w:t>30</w:t>
            </w:r>
          </w:p>
        </w:tc>
        <w:tc>
          <w:tcPr>
            <w:tcW w:w="2268" w:type="dxa"/>
            <w:vAlign w:val="center"/>
          </w:tcPr>
          <w:p w14:paraId="3B2AFE65">
            <w:pPr>
              <w:keepNext w:val="0"/>
              <w:keepLines w:val="0"/>
              <w:pageBreakBefore w:val="0"/>
              <w:widowControl w:val="0"/>
              <w:kinsoku/>
              <w:wordWrap/>
              <w:overflowPunct/>
              <w:topLinePunct w:val="0"/>
              <w:autoSpaceDE w:val="0"/>
              <w:autoSpaceDN w:val="0"/>
              <w:bidi w:val="0"/>
              <w:adjustRightInd w:val="0"/>
              <w:spacing w:line="440" w:lineRule="exact"/>
              <w:ind w:firstLine="630" w:firstLineChars="300"/>
              <w:textAlignment w:val="auto"/>
              <w:rPr>
                <w:rFonts w:ascii="宋体" w:hAnsi="宋体" w:cs="宋体"/>
                <w:bCs/>
                <w:color w:val="auto"/>
                <w:szCs w:val="21"/>
                <w:lang w:val="zh-CN"/>
              </w:rPr>
            </w:pPr>
            <w:r>
              <w:rPr>
                <w:rFonts w:hint="eastAsia" w:ascii="宋体" w:hAnsi="宋体" w:cs="宋体"/>
                <w:bCs/>
                <w:color w:val="auto"/>
                <w:szCs w:val="21"/>
                <w:lang w:val="zh-CN"/>
              </w:rPr>
              <w:t>授权函</w:t>
            </w:r>
          </w:p>
        </w:tc>
        <w:tc>
          <w:tcPr>
            <w:tcW w:w="6739" w:type="dxa"/>
            <w:vAlign w:val="center"/>
          </w:tcPr>
          <w:p w14:paraId="6F12C289">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14:paraId="6821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DD1D0E9">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color w:val="auto"/>
                <w:szCs w:val="21"/>
              </w:rPr>
            </w:pPr>
            <w:r>
              <w:rPr>
                <w:rFonts w:hint="eastAsia" w:ascii="宋体" w:hAnsi="宋体" w:cs="宋体"/>
                <w:color w:val="auto"/>
                <w:szCs w:val="21"/>
              </w:rPr>
              <w:t>31</w:t>
            </w:r>
          </w:p>
        </w:tc>
        <w:tc>
          <w:tcPr>
            <w:tcW w:w="2268" w:type="dxa"/>
            <w:vAlign w:val="center"/>
          </w:tcPr>
          <w:p w14:paraId="48451AC2">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color w:val="auto"/>
                <w:szCs w:val="21"/>
                <w:lang w:val="zh-CN"/>
              </w:rPr>
            </w:pPr>
            <w:r>
              <w:rPr>
                <w:rFonts w:hint="eastAsia" w:ascii="宋体" w:hAnsi="宋体" w:cs="宋体"/>
                <w:bCs/>
                <w:color w:val="auto"/>
                <w:szCs w:val="21"/>
                <w:lang w:val="zh-CN"/>
              </w:rPr>
              <w:t>中标人需提交</w:t>
            </w:r>
          </w:p>
          <w:p w14:paraId="56A89783">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ascii="宋体" w:hAnsi="宋体" w:cs="宋体"/>
                <w:bCs/>
                <w:color w:val="auto"/>
                <w:szCs w:val="21"/>
                <w:lang w:val="zh-CN"/>
              </w:rPr>
            </w:pPr>
            <w:r>
              <w:rPr>
                <w:rFonts w:hint="eastAsia" w:ascii="宋体" w:hAnsi="宋体" w:cs="宋体"/>
                <w:bCs/>
                <w:color w:val="auto"/>
                <w:szCs w:val="21"/>
                <w:lang w:val="zh-CN"/>
              </w:rPr>
              <w:t>的资料</w:t>
            </w:r>
          </w:p>
        </w:tc>
        <w:tc>
          <w:tcPr>
            <w:tcW w:w="6739" w:type="dxa"/>
            <w:vAlign w:val="center"/>
          </w:tcPr>
          <w:p w14:paraId="6FFF2BB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中标人在接到中标通知时，须发送投标报价及分项报价一览表（包含主要中标标的的名称、规格型号、数量、单价、服务要求等）电子文档，并同时通知代理机构联系人。代理机构联系电话:</w:t>
            </w:r>
            <w:r>
              <w:rPr>
                <w:rFonts w:hint="eastAsia" w:ascii="宋体" w:hAnsi="宋体" w:cs="仿宋_GB2312"/>
                <w:color w:val="auto"/>
                <w:szCs w:val="21"/>
                <w:lang w:val="en-US" w:eastAsia="zh-CN"/>
              </w:rPr>
              <w:t>13937120256</w:t>
            </w:r>
            <w:r>
              <w:rPr>
                <w:rFonts w:hint="eastAsia" w:ascii="宋体" w:hAnsi="宋体" w:cs="宋体"/>
                <w:bCs/>
                <w:color w:val="auto"/>
                <w:szCs w:val="21"/>
                <w:lang w:val="zh-CN"/>
              </w:rPr>
              <w:t>，邮箱：</w:t>
            </w:r>
            <w:r>
              <w:rPr>
                <w:rFonts w:hint="eastAsia" w:ascii="宋体" w:hAnsi="宋体" w:cs="宋体"/>
                <w:bCs/>
                <w:color w:val="auto"/>
                <w:szCs w:val="21"/>
                <w:lang w:val="en-US" w:eastAsia="zh-CN"/>
              </w:rPr>
              <w:t>xiaofeng20051115@126.com</w:t>
            </w:r>
            <w:r>
              <w:rPr>
                <w:rFonts w:hint="eastAsia" w:ascii="宋体" w:hAnsi="宋体" w:cs="宋体"/>
                <w:bCs/>
                <w:color w:val="auto"/>
                <w:szCs w:val="21"/>
                <w:lang w:val="zh-CN"/>
              </w:rPr>
              <w:t>。</w:t>
            </w:r>
          </w:p>
        </w:tc>
      </w:tr>
      <w:tr w14:paraId="1192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9F9AEEF">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color w:val="auto"/>
                <w:szCs w:val="21"/>
              </w:rPr>
            </w:pPr>
            <w:r>
              <w:rPr>
                <w:rFonts w:hint="eastAsia" w:ascii="宋体" w:hAnsi="宋体" w:cs="宋体"/>
                <w:color w:val="auto"/>
                <w:szCs w:val="21"/>
              </w:rPr>
              <w:t>32</w:t>
            </w:r>
          </w:p>
        </w:tc>
        <w:tc>
          <w:tcPr>
            <w:tcW w:w="2268" w:type="dxa"/>
            <w:vAlign w:val="center"/>
          </w:tcPr>
          <w:p w14:paraId="22F3B908">
            <w:pPr>
              <w:keepNext w:val="0"/>
              <w:keepLines w:val="0"/>
              <w:pageBreakBefore w:val="0"/>
              <w:widowControl w:val="0"/>
              <w:kinsoku/>
              <w:wordWrap/>
              <w:overflowPunct/>
              <w:topLinePunct w:val="0"/>
              <w:autoSpaceDE w:val="0"/>
              <w:autoSpaceDN w:val="0"/>
              <w:bidi w:val="0"/>
              <w:adjustRightInd w:val="0"/>
              <w:spacing w:line="440" w:lineRule="exact"/>
              <w:ind w:firstLine="210" w:firstLineChars="100"/>
              <w:textAlignment w:val="auto"/>
              <w:rPr>
                <w:rFonts w:ascii="宋体" w:hAnsi="宋体" w:cs="宋体"/>
                <w:bCs/>
                <w:color w:val="auto"/>
                <w:szCs w:val="21"/>
                <w:lang w:val="zh-CN"/>
              </w:rPr>
            </w:pPr>
            <w:r>
              <w:rPr>
                <w:rFonts w:hint="eastAsia" w:ascii="宋体" w:hAnsi="宋体" w:cs="宋体"/>
                <w:bCs/>
                <w:color w:val="auto"/>
                <w:szCs w:val="21"/>
                <w:lang w:val="zh-CN"/>
              </w:rPr>
              <w:t>电子化采购模式</w:t>
            </w:r>
          </w:p>
        </w:tc>
        <w:tc>
          <w:tcPr>
            <w:tcW w:w="6739" w:type="dxa"/>
            <w:vAlign w:val="center"/>
          </w:tcPr>
          <w:p w14:paraId="44C7F768">
            <w:pPr>
              <w:keepNext w:val="0"/>
              <w:keepLines w:val="0"/>
              <w:pageBreakBefore w:val="0"/>
              <w:widowControl w:val="0"/>
              <w:kinsoku/>
              <w:wordWrap/>
              <w:overflowPunct/>
              <w:topLinePunct w:val="0"/>
              <w:autoSpaceDE w:val="0"/>
              <w:autoSpaceDN w:val="0"/>
              <w:bidi w:val="0"/>
              <w:adjustRightInd w:val="0"/>
              <w:spacing w:line="440" w:lineRule="exact"/>
              <w:contextualSpacing/>
              <w:textAlignment w:val="auto"/>
              <w:rPr>
                <w:rFonts w:ascii="宋体" w:hAnsi="宋体" w:cs="宋体"/>
                <w:color w:val="auto"/>
                <w:szCs w:val="21"/>
                <w:lang w:val="zh-CN"/>
              </w:rPr>
            </w:pPr>
            <w:r>
              <w:rPr>
                <w:rFonts w:hint="eastAsia" w:ascii="宋体" w:hAnsi="宋体" w:cs="宋体"/>
                <w:color w:val="auto"/>
                <w:szCs w:val="21"/>
                <w:lang w:val="zh-CN"/>
              </w:rPr>
              <w:t>本项目为全流程电子化交易（远程不见面开标）项目。</w:t>
            </w:r>
          </w:p>
          <w:p w14:paraId="08AF6EC1">
            <w:pPr>
              <w:keepNext w:val="0"/>
              <w:keepLines w:val="0"/>
              <w:pageBreakBefore w:val="0"/>
              <w:widowControl w:val="0"/>
              <w:kinsoku/>
              <w:wordWrap/>
              <w:overflowPunct/>
              <w:topLinePunct w:val="0"/>
              <w:autoSpaceDE w:val="0"/>
              <w:autoSpaceDN w:val="0"/>
              <w:bidi w:val="0"/>
              <w:adjustRightInd w:val="0"/>
              <w:spacing w:line="440" w:lineRule="exact"/>
              <w:contextualSpacing/>
              <w:textAlignment w:val="auto"/>
              <w:rPr>
                <w:rFonts w:ascii="宋体" w:hAnsi="宋体" w:cs="宋体"/>
                <w:color w:val="auto"/>
                <w:szCs w:val="21"/>
              </w:rPr>
            </w:pPr>
            <w:r>
              <w:rPr>
                <w:rFonts w:hint="eastAsia" w:ascii="宋体" w:hAnsi="宋体" w:cs="宋体"/>
                <w:color w:val="auto"/>
                <w:szCs w:val="21"/>
                <w:lang w:val="zh-CN"/>
              </w:rPr>
              <w:t>投标人投标时须成功上传、解密电子投标文件。</w:t>
            </w:r>
          </w:p>
        </w:tc>
      </w:tr>
      <w:tr w14:paraId="1B9F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310CDA0">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color w:val="auto"/>
                <w:szCs w:val="21"/>
              </w:rPr>
            </w:pPr>
            <w:r>
              <w:rPr>
                <w:rFonts w:hint="eastAsia" w:ascii="宋体" w:hAnsi="宋体" w:cs="宋体"/>
                <w:color w:val="auto"/>
                <w:szCs w:val="21"/>
              </w:rPr>
              <w:t>33</w:t>
            </w:r>
          </w:p>
        </w:tc>
        <w:tc>
          <w:tcPr>
            <w:tcW w:w="2268" w:type="dxa"/>
            <w:vAlign w:val="center"/>
          </w:tcPr>
          <w:p w14:paraId="01ABA3C8">
            <w:pPr>
              <w:keepNext w:val="0"/>
              <w:keepLines w:val="0"/>
              <w:pageBreakBefore w:val="0"/>
              <w:widowControl w:val="0"/>
              <w:kinsoku/>
              <w:wordWrap/>
              <w:overflowPunct/>
              <w:topLinePunct w:val="0"/>
              <w:autoSpaceDE w:val="0"/>
              <w:autoSpaceDN w:val="0"/>
              <w:bidi w:val="0"/>
              <w:adjustRightInd w:val="0"/>
              <w:spacing w:line="440" w:lineRule="exact"/>
              <w:ind w:firstLine="420" w:firstLineChars="200"/>
              <w:textAlignment w:val="auto"/>
              <w:rPr>
                <w:rFonts w:ascii="宋体" w:hAnsi="宋体" w:cs="宋体"/>
                <w:bCs/>
                <w:color w:val="auto"/>
                <w:szCs w:val="21"/>
                <w:lang w:val="zh-CN"/>
              </w:rPr>
            </w:pPr>
            <w:r>
              <w:rPr>
                <w:rFonts w:hint="eastAsia" w:ascii="宋体" w:hAnsi="宋体" w:cs="宋体"/>
                <w:bCs/>
                <w:color w:val="auto"/>
                <w:szCs w:val="21"/>
                <w:lang w:val="zh-CN"/>
              </w:rPr>
              <w:t>特别提示</w:t>
            </w:r>
          </w:p>
        </w:tc>
        <w:tc>
          <w:tcPr>
            <w:tcW w:w="6739" w:type="dxa"/>
            <w:vAlign w:val="center"/>
          </w:tcPr>
          <w:p w14:paraId="357289A4">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按照《关于推进全流程电子化交易和在线监管工作有关问题的通知》（许公管办[2019]3号）规定：</w:t>
            </w:r>
          </w:p>
          <w:p w14:paraId="70ACE1FA">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不同投标人电子投标文件的文件制作机器码(即许公管办[2019]3号文中的投标文件制作“硬件特征码”，其由网卡MAC地址、CPU序列号、硬盘序列号等组成，以下均称为“文件制作机器码”)均一致时，视为‘不同投标人电子投标文件由同一单位或者个人编制’或‘不同投标人委托同一单位或者个人办理响应事宜’，其投标无效。</w:t>
            </w:r>
          </w:p>
          <w:p w14:paraId="3B5906D1">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评审专家应严格按照要求查看“文件制作机器码”相关信息并进行评审，在评标报告中显示“不同投标人电子投标文件的文件制作机器码”是否雷同的分析及判定结果。</w:t>
            </w:r>
          </w:p>
        </w:tc>
      </w:tr>
      <w:tr w14:paraId="41BE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5CBADF4">
            <w:pPr>
              <w:keepNext w:val="0"/>
              <w:keepLines w:val="0"/>
              <w:pageBreakBefore w:val="0"/>
              <w:widowControl w:val="0"/>
              <w:kinsoku/>
              <w:wordWrap/>
              <w:overflowPunct/>
              <w:topLinePunct w:val="0"/>
              <w:autoSpaceDE w:val="0"/>
              <w:autoSpaceDN w:val="0"/>
              <w:bidi w:val="0"/>
              <w:adjustRightInd w:val="0"/>
              <w:spacing w:line="440" w:lineRule="exact"/>
              <w:contextualSpacing/>
              <w:jc w:val="center"/>
              <w:textAlignment w:val="auto"/>
              <w:rPr>
                <w:rFonts w:ascii="宋体" w:hAnsi="宋体" w:cs="宋体"/>
                <w:bCs/>
                <w:color w:val="auto"/>
                <w:szCs w:val="21"/>
                <w:lang w:val="zh-CN"/>
              </w:rPr>
            </w:pPr>
            <w:r>
              <w:rPr>
                <w:rFonts w:hint="eastAsia" w:ascii="宋体" w:hAnsi="宋体" w:cs="宋体"/>
                <w:bCs/>
                <w:color w:val="auto"/>
                <w:szCs w:val="21"/>
                <w:lang w:val="zh-CN"/>
              </w:rPr>
              <w:t>34</w:t>
            </w:r>
          </w:p>
        </w:tc>
        <w:tc>
          <w:tcPr>
            <w:tcW w:w="2268" w:type="dxa"/>
            <w:vAlign w:val="center"/>
          </w:tcPr>
          <w:p w14:paraId="138463B5">
            <w:pPr>
              <w:keepNext w:val="0"/>
              <w:keepLines w:val="0"/>
              <w:pageBreakBefore w:val="0"/>
              <w:widowControl w:val="0"/>
              <w:kinsoku/>
              <w:wordWrap/>
              <w:overflowPunct/>
              <w:topLinePunct w:val="0"/>
              <w:autoSpaceDE w:val="0"/>
              <w:autoSpaceDN w:val="0"/>
              <w:bidi w:val="0"/>
              <w:adjustRightInd w:val="0"/>
              <w:spacing w:line="440" w:lineRule="exact"/>
              <w:ind w:firstLine="210" w:firstLineChars="100"/>
              <w:textAlignment w:val="auto"/>
              <w:rPr>
                <w:rFonts w:ascii="宋体" w:hAnsi="宋体" w:cs="宋体"/>
                <w:bCs/>
                <w:color w:val="auto"/>
                <w:szCs w:val="21"/>
                <w:lang w:val="zh-CN"/>
              </w:rPr>
            </w:pPr>
            <w:r>
              <w:rPr>
                <w:rFonts w:hint="eastAsia" w:ascii="宋体" w:hAnsi="宋体" w:cs="宋体"/>
                <w:bCs/>
                <w:color w:val="auto"/>
                <w:szCs w:val="21"/>
                <w:lang w:val="zh-CN"/>
              </w:rPr>
              <w:t>投标人资格核验</w:t>
            </w:r>
          </w:p>
        </w:tc>
        <w:tc>
          <w:tcPr>
            <w:tcW w:w="6739" w:type="dxa"/>
            <w:vAlign w:val="center"/>
          </w:tcPr>
          <w:p w14:paraId="7DE95905">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en-US" w:eastAsia="zh-CN"/>
              </w:rPr>
              <w:t>供应商</w:t>
            </w:r>
            <w:r>
              <w:rPr>
                <w:rFonts w:hint="eastAsia" w:ascii="宋体" w:hAnsi="宋体" w:cs="宋体"/>
                <w:bCs/>
                <w:color w:val="auto"/>
                <w:szCs w:val="21"/>
                <w:lang w:val="zh-CN"/>
              </w:rPr>
              <w:t>在中标后，应将由《许昌市建安区政府采购</w:t>
            </w:r>
            <w:r>
              <w:rPr>
                <w:rFonts w:hint="eastAsia" w:ascii="宋体" w:hAnsi="宋体" w:cs="宋体"/>
                <w:bCs/>
                <w:color w:val="auto"/>
                <w:szCs w:val="21"/>
                <w:lang w:val="en-US" w:eastAsia="zh-CN"/>
              </w:rPr>
              <w:t>供应商</w:t>
            </w:r>
            <w:r>
              <w:rPr>
                <w:rFonts w:hint="eastAsia" w:ascii="宋体" w:hAnsi="宋体" w:cs="宋体"/>
                <w:bCs/>
                <w:color w:val="auto"/>
                <w:szCs w:val="21"/>
                <w:lang w:val="zh-CN"/>
              </w:rPr>
              <w:t>信用承诺函》替代的证明材料提交采购人核验，经核验无误后，采购人发出中标通知书。</w:t>
            </w:r>
          </w:p>
          <w:p w14:paraId="5F6A2431">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
                <w:color w:val="auto"/>
                <w:szCs w:val="21"/>
                <w:lang w:val="zh-CN"/>
              </w:rPr>
            </w:pPr>
            <w:r>
              <w:rPr>
                <w:rFonts w:hint="eastAsia" w:ascii="宋体" w:hAnsi="宋体" w:cs="宋体"/>
                <w:b/>
                <w:color w:val="auto"/>
                <w:szCs w:val="21"/>
                <w:lang w:val="zh-CN"/>
              </w:rPr>
              <w:t>一、法人或者其他组织的营业执照等证明文件，自然人的身份证明</w:t>
            </w:r>
          </w:p>
          <w:p w14:paraId="5FF9B8B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1、企业法人营业执照或营业执照。（企业投标提供）</w:t>
            </w:r>
          </w:p>
          <w:p w14:paraId="5E360299">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2、事业单位法人证书。（事业单位投标提供）</w:t>
            </w:r>
          </w:p>
          <w:p w14:paraId="03458AA0">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3、执业许可证。（非企业专业服务机构投标提供）</w:t>
            </w:r>
          </w:p>
          <w:p w14:paraId="57108ADA">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4、个体工商户营业执照。（个体工商户投标提供）</w:t>
            </w:r>
          </w:p>
          <w:p w14:paraId="42D354EE">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5、自然人身份证明。（自然人投标提供）</w:t>
            </w:r>
          </w:p>
          <w:p w14:paraId="14773FF4">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6、民办非企业单位登记证书。（民办非企业单位投标提供）</w:t>
            </w:r>
          </w:p>
          <w:p w14:paraId="3BCAC63E">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
                <w:color w:val="auto"/>
                <w:szCs w:val="21"/>
                <w:lang w:val="zh-CN"/>
              </w:rPr>
            </w:pPr>
            <w:r>
              <w:rPr>
                <w:rFonts w:hint="eastAsia" w:ascii="宋体" w:hAnsi="宋体" w:cs="宋体"/>
                <w:b/>
                <w:color w:val="auto"/>
                <w:szCs w:val="21"/>
                <w:lang w:val="zh-CN"/>
              </w:rPr>
              <w:t>二、财务状况报告相关材料</w:t>
            </w:r>
          </w:p>
          <w:p w14:paraId="4EBDA9B4">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1、投标人是法人（法人包括企业法人、机关法人、事业单位法人和社会团体法人），提供本单位：</w:t>
            </w:r>
          </w:p>
          <w:p w14:paraId="0F841800">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①</w:t>
            </w:r>
            <w:r>
              <w:rPr>
                <w:rFonts w:hint="eastAsia" w:ascii="宋体" w:hAnsi="宋体" w:cs="宋体"/>
                <w:bCs/>
                <w:color w:val="auto"/>
                <w:szCs w:val="21"/>
              </w:rPr>
              <w:t>2023年度</w:t>
            </w:r>
            <w:r>
              <w:rPr>
                <w:rFonts w:hint="eastAsia" w:ascii="宋体" w:hAnsi="宋体" w:cs="宋体"/>
                <w:bCs/>
                <w:color w:val="auto"/>
                <w:szCs w:val="21"/>
                <w:lang w:val="zh-CN"/>
              </w:rPr>
              <w:t>经审计的财务报告，包括资产负债表、利润表、现金流量表、所有者权益变动表及其附注；</w:t>
            </w:r>
          </w:p>
          <w:p w14:paraId="584E65F0">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②基本开户银行出具的资信证明；</w:t>
            </w:r>
          </w:p>
          <w:p w14:paraId="601D0DF7">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 xml:space="preserve">③财政部门认可的政府采购专业担保机构的证明文件和担保机构出具的投标担保函。 </w:t>
            </w:r>
          </w:p>
          <w:p w14:paraId="7864D8D2">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注：仅需提供序号①～③其中之一即可。</w:t>
            </w:r>
          </w:p>
          <w:p w14:paraId="5A307C65">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2、投标人（其他组织和自然人）提供本单位：</w:t>
            </w:r>
          </w:p>
          <w:p w14:paraId="46D9984C">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①</w:t>
            </w:r>
            <w:r>
              <w:rPr>
                <w:rFonts w:hint="eastAsia" w:ascii="宋体" w:hAnsi="宋体" w:cs="宋体"/>
                <w:bCs/>
                <w:color w:val="auto"/>
                <w:szCs w:val="21"/>
              </w:rPr>
              <w:t>2023年度</w:t>
            </w:r>
            <w:r>
              <w:rPr>
                <w:rFonts w:hint="eastAsia" w:ascii="宋体" w:hAnsi="宋体" w:cs="宋体"/>
                <w:bCs/>
                <w:color w:val="auto"/>
                <w:szCs w:val="21"/>
                <w:lang w:val="zh-CN"/>
              </w:rPr>
              <w:t>经审计的财务报告，包括资产负债表、利润表、现金流量表、所有者权益变动表及其附注；</w:t>
            </w:r>
          </w:p>
          <w:p w14:paraId="5AB32477">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②银行出具的资信证明；</w:t>
            </w:r>
          </w:p>
          <w:p w14:paraId="57750FAA">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③财政部门认可的政府采购专业担保机构的证明文件和担保机构出具的投标担保函。</w:t>
            </w:r>
          </w:p>
          <w:p w14:paraId="7EF93492">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注：仅需提供序号①～③其中之一即可。</w:t>
            </w:r>
          </w:p>
          <w:p w14:paraId="7CEDBE2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
                <w:color w:val="auto"/>
                <w:szCs w:val="21"/>
                <w:lang w:val="zh-CN"/>
              </w:rPr>
            </w:pPr>
            <w:r>
              <w:rPr>
                <w:rFonts w:hint="eastAsia" w:ascii="宋体" w:hAnsi="宋体" w:cs="宋体"/>
                <w:b/>
                <w:color w:val="auto"/>
                <w:szCs w:val="21"/>
                <w:lang w:val="zh-CN"/>
              </w:rPr>
              <w:t>三、依法缴纳税收相关材料</w:t>
            </w:r>
          </w:p>
          <w:p w14:paraId="47D55C1B">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参加本次政府采购项目投标截止时间前一年内任意一个月缴纳税收凭据。（依法免税的投标人，应提供相应文件证明依法免税）</w:t>
            </w:r>
          </w:p>
          <w:p w14:paraId="0F2478C4">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
                <w:color w:val="auto"/>
                <w:szCs w:val="21"/>
                <w:lang w:val="zh-CN"/>
              </w:rPr>
            </w:pPr>
            <w:r>
              <w:rPr>
                <w:rFonts w:hint="eastAsia" w:ascii="宋体" w:hAnsi="宋体" w:cs="宋体"/>
                <w:b/>
                <w:color w:val="auto"/>
                <w:szCs w:val="21"/>
                <w:lang w:val="zh-CN"/>
              </w:rPr>
              <w:t>四、依法缴纳社会保障资金的证明材料</w:t>
            </w:r>
          </w:p>
          <w:p w14:paraId="6D4CC344">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参加本次政府采购项目投标截止时间前一年内任意一个月缴纳社会保险凭据。（依法不需要缴纳社会保障资金的投标人，应提供相应文件证明依法不需要缴纳社会保障资金）</w:t>
            </w:r>
          </w:p>
          <w:p w14:paraId="2128BFD8">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
                <w:color w:val="auto"/>
                <w:szCs w:val="21"/>
                <w:lang w:val="zh-CN"/>
              </w:rPr>
              <w:t>五、履行合同所必须的设备和专业技术能力的证明材料</w:t>
            </w:r>
            <w:r>
              <w:rPr>
                <w:rFonts w:hint="eastAsia" w:ascii="宋体" w:hAnsi="宋体" w:cs="宋体"/>
                <w:bCs/>
                <w:color w:val="auto"/>
                <w:szCs w:val="21"/>
                <w:lang w:val="zh-CN"/>
              </w:rPr>
              <w:t xml:space="preserve"> </w:t>
            </w:r>
          </w:p>
          <w:p w14:paraId="5BE06936">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1、相关设备的购置发票、专业技术人员职称证书、用工合同等；</w:t>
            </w:r>
          </w:p>
          <w:p w14:paraId="6FFA6039">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2、投标人具备履行合同所必须的设备和专业技术能力承诺函或声明（承诺函或声明格式自拟）。</w:t>
            </w:r>
          </w:p>
          <w:p w14:paraId="5BD7276A">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注：仅需提供序号1～2其中之一即可。</w:t>
            </w:r>
          </w:p>
          <w:p w14:paraId="20F0CC69">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
                <w:color w:val="auto"/>
                <w:szCs w:val="21"/>
                <w:lang w:val="zh-CN"/>
              </w:rPr>
              <w:t>六、参加政府采购活动前3年内在经营活动中没有重大违法记录的声明</w:t>
            </w:r>
          </w:p>
          <w:p w14:paraId="30BAECDD">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14:paraId="08AA5CD8">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
                <w:color w:val="auto"/>
                <w:szCs w:val="21"/>
                <w:lang w:val="zh-CN"/>
              </w:rPr>
              <w:t>七、</w:t>
            </w:r>
            <w:r>
              <w:rPr>
                <w:rFonts w:hint="eastAsia" w:ascii="宋体" w:hAnsi="宋体" w:cs="宋体"/>
                <w:bCs/>
                <w:color w:val="auto"/>
                <w:szCs w:val="21"/>
                <w:lang w:val="zh-CN"/>
              </w:rPr>
              <w:t>未被列入“信用中国”网站(www.creditchina.gov.cn)失信被执行人、重大税收违法失信主体的投标人；“中国政府采购网”(www.ccgp.gov.cn)政府采购严重违法失信行为记录名单的投标人；“中国社会组织政务服务平台”网站（chinanpo.mca.gov.cn）严重违法失信社会组织</w:t>
            </w:r>
          </w:p>
          <w:p w14:paraId="488E9560">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（联合体形式投标的，联合体成员存在不良信用记录，视同联合体存在不良信用记录）。</w:t>
            </w:r>
          </w:p>
          <w:p w14:paraId="7BCD1C58">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1、查询渠道：</w:t>
            </w:r>
          </w:p>
          <w:p w14:paraId="4B868225">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①“信用中国”网站（</w:t>
            </w:r>
            <w:r>
              <w:rPr>
                <w:rFonts w:hint="eastAsia" w:ascii="宋体" w:hAnsi="宋体" w:cs="宋体"/>
                <w:bCs/>
                <w:color w:val="auto"/>
                <w:szCs w:val="21"/>
                <w:lang w:val="zh-CN"/>
              </w:rPr>
              <w:fldChar w:fldCharType="begin"/>
            </w:r>
            <w:r>
              <w:rPr>
                <w:rFonts w:hint="eastAsia" w:ascii="宋体" w:hAnsi="宋体" w:cs="宋体"/>
                <w:bCs/>
                <w:color w:val="auto"/>
                <w:szCs w:val="21"/>
                <w:lang w:val="zh-CN"/>
              </w:rPr>
              <w:instrText xml:space="preserve"> HYPERLINK "http://www.creditchina.gov.cn" </w:instrText>
            </w:r>
            <w:r>
              <w:rPr>
                <w:rFonts w:hint="eastAsia" w:ascii="宋体" w:hAnsi="宋体" w:cs="宋体"/>
                <w:bCs/>
                <w:color w:val="auto"/>
                <w:szCs w:val="21"/>
                <w:lang w:val="zh-CN"/>
              </w:rPr>
              <w:fldChar w:fldCharType="separate"/>
            </w:r>
            <w:r>
              <w:rPr>
                <w:rFonts w:hint="eastAsia" w:ascii="宋体" w:hAnsi="宋体" w:cs="宋体"/>
                <w:bCs/>
                <w:color w:val="auto"/>
                <w:szCs w:val="21"/>
                <w:lang w:val="zh-CN"/>
              </w:rPr>
              <w:t>www.creditchina.gov.cn</w:t>
            </w:r>
            <w:r>
              <w:rPr>
                <w:rFonts w:hint="eastAsia" w:ascii="宋体" w:hAnsi="宋体" w:cs="宋体"/>
                <w:bCs/>
                <w:color w:val="auto"/>
                <w:szCs w:val="21"/>
                <w:lang w:val="zh-CN"/>
              </w:rPr>
              <w:fldChar w:fldCharType="end"/>
            </w:r>
            <w:r>
              <w:rPr>
                <w:rFonts w:hint="eastAsia" w:ascii="宋体" w:hAnsi="宋体" w:cs="宋体"/>
                <w:bCs/>
                <w:color w:val="auto"/>
                <w:szCs w:val="21"/>
                <w:lang w:val="zh-CN"/>
              </w:rPr>
              <w:t>）</w:t>
            </w:r>
          </w:p>
          <w:p w14:paraId="06A1A474">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②“中国政府采购网”（</w:t>
            </w:r>
            <w:r>
              <w:rPr>
                <w:rFonts w:hint="eastAsia" w:ascii="宋体" w:hAnsi="宋体" w:cs="宋体"/>
                <w:bCs/>
                <w:color w:val="auto"/>
                <w:szCs w:val="21"/>
                <w:lang w:val="zh-CN"/>
              </w:rPr>
              <w:fldChar w:fldCharType="begin"/>
            </w:r>
            <w:r>
              <w:rPr>
                <w:rFonts w:hint="eastAsia" w:ascii="宋体" w:hAnsi="宋体" w:cs="宋体"/>
                <w:bCs/>
                <w:color w:val="auto"/>
                <w:szCs w:val="21"/>
                <w:lang w:val="zh-CN"/>
              </w:rPr>
              <w:instrText xml:space="preserve"> HYPERLINK "http://www.ccgp.gov.cn" </w:instrText>
            </w:r>
            <w:r>
              <w:rPr>
                <w:rFonts w:hint="eastAsia" w:ascii="宋体" w:hAnsi="宋体" w:cs="宋体"/>
                <w:bCs/>
                <w:color w:val="auto"/>
                <w:szCs w:val="21"/>
                <w:lang w:val="zh-CN"/>
              </w:rPr>
              <w:fldChar w:fldCharType="separate"/>
            </w:r>
            <w:r>
              <w:rPr>
                <w:rFonts w:hint="eastAsia" w:ascii="宋体" w:hAnsi="宋体" w:cs="宋体"/>
                <w:bCs/>
                <w:color w:val="auto"/>
                <w:szCs w:val="21"/>
                <w:lang w:val="zh-CN"/>
              </w:rPr>
              <w:t>www.ccgp.gov.cn</w:t>
            </w:r>
            <w:r>
              <w:rPr>
                <w:rFonts w:hint="eastAsia" w:ascii="宋体" w:hAnsi="宋体" w:cs="宋体"/>
                <w:bCs/>
                <w:color w:val="auto"/>
                <w:szCs w:val="21"/>
                <w:lang w:val="zh-CN"/>
              </w:rPr>
              <w:fldChar w:fldCharType="end"/>
            </w:r>
            <w:r>
              <w:rPr>
                <w:rFonts w:hint="eastAsia" w:ascii="宋体" w:hAnsi="宋体" w:cs="宋体"/>
                <w:bCs/>
                <w:color w:val="auto"/>
                <w:szCs w:val="21"/>
                <w:lang w:val="zh-CN"/>
              </w:rPr>
              <w:t>）</w:t>
            </w:r>
          </w:p>
          <w:p w14:paraId="1228D50D">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③“中国社会组织政务服务平台”网站（chinanpo.mca.gov.cn）（仅查询社会组织）；</w:t>
            </w:r>
          </w:p>
          <w:p w14:paraId="4C0A0657">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2、截止时间：同投标截止时间；</w:t>
            </w:r>
          </w:p>
          <w:p w14:paraId="4A608273">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zh-CN"/>
              </w:rPr>
            </w:pPr>
            <w:r>
              <w:rPr>
                <w:rFonts w:hint="eastAsia" w:ascii="宋体" w:hAnsi="宋体" w:cs="宋体"/>
                <w:bCs/>
                <w:color w:val="auto"/>
                <w:szCs w:val="21"/>
                <w:lang w:val="zh-CN"/>
              </w:rPr>
              <w:t>3、信用信息的使用原则：经采购人认定的被列入失信被执行人、重大税收违法失信主体、政府采购严重违法失信行为记录名单的投标人、严重违法失信社会组织，将拒绝其参与本次政府采购活动。</w:t>
            </w:r>
          </w:p>
          <w:p w14:paraId="3E4EE9E1">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en-US" w:eastAsia="zh-CN"/>
              </w:rPr>
            </w:pPr>
            <w:r>
              <w:rPr>
                <w:rFonts w:hint="eastAsia" w:ascii="宋体" w:hAnsi="宋体" w:cs="宋体"/>
                <w:bCs/>
                <w:color w:val="auto"/>
                <w:szCs w:val="21"/>
                <w:lang w:val="en-US" w:eastAsia="zh-CN"/>
              </w:rPr>
              <w:t>八、本项目的特定资格要求：</w:t>
            </w:r>
          </w:p>
          <w:p w14:paraId="2B4B89C8">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en-US" w:eastAsia="zh-CN"/>
              </w:rPr>
            </w:pPr>
            <w:r>
              <w:rPr>
                <w:rFonts w:hint="eastAsia" w:ascii="宋体" w:hAnsi="宋体" w:cs="宋体"/>
                <w:bCs/>
                <w:color w:val="auto"/>
                <w:szCs w:val="21"/>
                <w:lang w:val="en-US" w:eastAsia="zh-CN"/>
              </w:rPr>
              <w:t>1.施工单位须具备建设行政主管部门颁发的水利水电工程施工总承包贰级及以上资质，且具备有效的安全生产许可证。</w:t>
            </w:r>
          </w:p>
          <w:p w14:paraId="34F1BDE0">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宋体" w:hAnsi="宋体" w:cs="宋体"/>
                <w:bCs/>
                <w:color w:val="auto"/>
                <w:szCs w:val="21"/>
                <w:lang w:val="en-US" w:eastAsia="zh-CN"/>
              </w:rPr>
            </w:pPr>
            <w:r>
              <w:rPr>
                <w:rFonts w:hint="eastAsia" w:ascii="宋体" w:hAnsi="宋体" w:cs="宋体"/>
                <w:bCs/>
                <w:color w:val="auto"/>
                <w:szCs w:val="21"/>
                <w:lang w:val="en-US" w:eastAsia="zh-CN"/>
              </w:rPr>
              <w:t>2.拟派施工项目负责人须具有水利水电工程专业贰级及以上注册建造师资格证书，且具有有效的安全生产考核合格证；拟派施工项目技术负责人具有水利专业中级及以上技术职称；项目负责人和技术负责人不得有在建工程，并出具无在建工程承诺书。</w:t>
            </w:r>
          </w:p>
          <w:p w14:paraId="54288A66">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color w:val="auto"/>
                <w:szCs w:val="21"/>
                <w:lang w:val="zh-CN"/>
              </w:rPr>
            </w:pPr>
            <w:r>
              <w:rPr>
                <w:rFonts w:hint="eastAsia" w:ascii="宋体" w:hAnsi="宋体" w:cs="宋体"/>
                <w:bCs/>
                <w:color w:val="auto"/>
                <w:szCs w:val="21"/>
                <w:lang w:val="en-US" w:eastAsia="zh-CN"/>
              </w:rPr>
              <w:t>3.如为联合体投标，联合体成员中的施工单位须满足以上要求</w:t>
            </w:r>
            <w:r>
              <w:rPr>
                <w:rFonts w:hint="eastAsia" w:ascii="宋体" w:hAnsi="宋体" w:cs="宋体"/>
                <w:bCs/>
                <w:color w:val="auto"/>
                <w:szCs w:val="21"/>
                <w:lang w:val="zh-CN"/>
              </w:rPr>
              <w:t>。</w:t>
            </w:r>
          </w:p>
        </w:tc>
      </w:tr>
    </w:tbl>
    <w:p w14:paraId="60190887">
      <w:pPr>
        <w:keepNext w:val="0"/>
        <w:keepLines w:val="0"/>
        <w:pageBreakBefore w:val="0"/>
        <w:widowControl w:val="0"/>
        <w:kinsoku/>
        <w:wordWrap/>
        <w:overflowPunct/>
        <w:topLinePunct w:val="0"/>
        <w:bidi w:val="0"/>
        <w:snapToGrid w:val="0"/>
        <w:spacing w:line="440" w:lineRule="exact"/>
        <w:jc w:val="center"/>
        <w:textAlignment w:val="auto"/>
        <w:rPr>
          <w:rStyle w:val="138"/>
          <w:rFonts w:ascii="宋体" w:hAnsi="宋体"/>
          <w:b/>
          <w:color w:val="auto"/>
          <w:kern w:val="0"/>
          <w:sz w:val="36"/>
          <w:szCs w:val="36"/>
        </w:rPr>
      </w:pPr>
      <w:r>
        <w:rPr>
          <w:rFonts w:ascii="宋体"/>
          <w:color w:val="auto"/>
        </w:rPr>
        <w:br w:type="page"/>
      </w:r>
      <w:r>
        <w:rPr>
          <w:rStyle w:val="138"/>
          <w:rFonts w:ascii="宋体" w:hAnsi="宋体"/>
          <w:b/>
          <w:color w:val="auto"/>
          <w:kern w:val="0"/>
          <w:sz w:val="36"/>
          <w:szCs w:val="36"/>
        </w:rPr>
        <w:t xml:space="preserve">第四章 </w:t>
      </w:r>
      <w:r>
        <w:rPr>
          <w:rStyle w:val="138"/>
          <w:rFonts w:hint="eastAsia" w:ascii="宋体" w:hAnsi="宋体"/>
          <w:b/>
          <w:color w:val="auto"/>
          <w:kern w:val="0"/>
          <w:sz w:val="36"/>
          <w:szCs w:val="36"/>
          <w:lang w:eastAsia="zh-CN"/>
        </w:rPr>
        <w:t>投标人</w:t>
      </w:r>
      <w:r>
        <w:rPr>
          <w:rStyle w:val="138"/>
          <w:rFonts w:ascii="宋体" w:hAnsi="宋体"/>
          <w:b/>
          <w:color w:val="auto"/>
          <w:kern w:val="0"/>
          <w:sz w:val="36"/>
          <w:szCs w:val="36"/>
        </w:rPr>
        <w:t>须知</w:t>
      </w:r>
    </w:p>
    <w:p w14:paraId="7920A137">
      <w:pPr>
        <w:snapToGrid w:val="0"/>
        <w:rPr>
          <w:rStyle w:val="138"/>
          <w:rFonts w:ascii="宋体" w:hAnsi="宋体"/>
          <w:color w:val="auto"/>
        </w:rPr>
      </w:pPr>
    </w:p>
    <w:p w14:paraId="63FCA3E6">
      <w:pPr>
        <w:tabs>
          <w:tab w:val="left" w:pos="1260"/>
        </w:tabs>
        <w:snapToGrid w:val="0"/>
        <w:spacing w:line="360" w:lineRule="auto"/>
        <w:jc w:val="center"/>
        <w:rPr>
          <w:rStyle w:val="138"/>
          <w:rFonts w:ascii="宋体" w:hAnsi="宋体"/>
          <w:b/>
          <w:color w:val="auto"/>
          <w:kern w:val="0"/>
          <w:sz w:val="24"/>
          <w:szCs w:val="24"/>
        </w:rPr>
      </w:pPr>
      <w:r>
        <w:rPr>
          <w:rStyle w:val="138"/>
          <w:rFonts w:ascii="宋体" w:hAnsi="宋体"/>
          <w:b/>
          <w:color w:val="auto"/>
          <w:kern w:val="0"/>
          <w:sz w:val="24"/>
          <w:szCs w:val="24"/>
        </w:rPr>
        <w:t>一、概念释义</w:t>
      </w:r>
    </w:p>
    <w:p w14:paraId="136AD70F">
      <w:pPr>
        <w:pStyle w:val="143"/>
        <w:numPr>
          <w:ilvl w:val="0"/>
          <w:numId w:val="2"/>
        </w:numPr>
        <w:snapToGrid w:val="0"/>
        <w:spacing w:line="360" w:lineRule="auto"/>
        <w:ind w:firstLineChars="0"/>
        <w:rPr>
          <w:rStyle w:val="138"/>
          <w:rFonts w:ascii="宋体" w:hAnsi="宋体"/>
          <w:b/>
          <w:color w:val="auto"/>
          <w:kern w:val="0"/>
          <w:sz w:val="24"/>
          <w:szCs w:val="24"/>
        </w:rPr>
      </w:pPr>
      <w:r>
        <w:rPr>
          <w:rStyle w:val="138"/>
          <w:rFonts w:ascii="宋体" w:hAnsi="宋体"/>
          <w:b/>
          <w:color w:val="auto"/>
          <w:kern w:val="0"/>
          <w:sz w:val="24"/>
          <w:szCs w:val="24"/>
        </w:rPr>
        <w:t>适用范围</w:t>
      </w:r>
    </w:p>
    <w:p w14:paraId="51F20ABA">
      <w:pPr>
        <w:snapToGrid w:val="0"/>
        <w:spacing w:line="360" w:lineRule="auto"/>
        <w:ind w:firstLine="480" w:firstLineChars="200"/>
        <w:rPr>
          <w:rStyle w:val="138"/>
          <w:rFonts w:ascii="宋体" w:hAnsi="宋体" w:eastAsia="宋体" w:cs="Times New Roman"/>
          <w:color w:val="auto"/>
          <w:kern w:val="0"/>
          <w:sz w:val="24"/>
          <w:szCs w:val="24"/>
        </w:rPr>
      </w:pPr>
      <w:r>
        <w:rPr>
          <w:rStyle w:val="138"/>
          <w:rFonts w:hint="eastAsia" w:ascii="宋体" w:hAnsi="宋体" w:eastAsia="宋体" w:cs="Times New Roman"/>
          <w:color w:val="auto"/>
          <w:kern w:val="0"/>
          <w:sz w:val="24"/>
          <w:szCs w:val="24"/>
          <w:lang w:val="en-US" w:eastAsia="zh-CN"/>
        </w:rPr>
        <w:t>1.1</w:t>
      </w:r>
      <w:r>
        <w:rPr>
          <w:rStyle w:val="138"/>
          <w:rFonts w:ascii="宋体" w:hAnsi="宋体" w:eastAsia="宋体" w:cs="Times New Roman"/>
          <w:color w:val="auto"/>
          <w:kern w:val="0"/>
          <w:sz w:val="24"/>
          <w:szCs w:val="24"/>
        </w:rPr>
        <w:t>本招标文件仅适用于本次“投标邀请”中所述采购项目。</w:t>
      </w:r>
    </w:p>
    <w:p w14:paraId="001A107A">
      <w:pPr>
        <w:snapToGrid w:val="0"/>
        <w:spacing w:line="360" w:lineRule="auto"/>
        <w:ind w:firstLine="480" w:firstLineChars="200"/>
        <w:rPr>
          <w:rStyle w:val="138"/>
          <w:rFonts w:ascii="宋体" w:hAnsi="宋体" w:eastAsia="宋体" w:cs="Times New Roman"/>
          <w:color w:val="auto"/>
          <w:kern w:val="0"/>
          <w:sz w:val="24"/>
          <w:szCs w:val="24"/>
        </w:rPr>
      </w:pPr>
      <w:r>
        <w:rPr>
          <w:rStyle w:val="138"/>
          <w:rFonts w:hint="eastAsia" w:ascii="宋体" w:hAnsi="宋体" w:eastAsia="宋体" w:cs="Times New Roman"/>
          <w:color w:val="auto"/>
          <w:kern w:val="0"/>
          <w:sz w:val="24"/>
          <w:szCs w:val="24"/>
          <w:lang w:val="en-US" w:eastAsia="zh-CN"/>
        </w:rPr>
        <w:t>1.2</w:t>
      </w:r>
      <w:r>
        <w:rPr>
          <w:rStyle w:val="138"/>
          <w:rFonts w:ascii="宋体" w:hAnsi="宋体" w:eastAsia="宋体" w:cs="Times New Roman"/>
          <w:color w:val="auto"/>
          <w:kern w:val="0"/>
          <w:sz w:val="24"/>
          <w:szCs w:val="24"/>
        </w:rPr>
        <w:t>本招标文件解释权属于“投标邀请”所述的采购人。</w:t>
      </w:r>
    </w:p>
    <w:p w14:paraId="2BD72C62">
      <w:pPr>
        <w:pStyle w:val="143"/>
        <w:numPr>
          <w:ilvl w:val="0"/>
          <w:numId w:val="2"/>
        </w:numPr>
        <w:snapToGrid w:val="0"/>
        <w:spacing w:line="360" w:lineRule="auto"/>
        <w:ind w:firstLineChars="0"/>
        <w:rPr>
          <w:rStyle w:val="138"/>
          <w:rFonts w:ascii="宋体" w:hAnsi="宋体"/>
          <w:b/>
          <w:color w:val="auto"/>
          <w:kern w:val="0"/>
          <w:sz w:val="24"/>
          <w:szCs w:val="24"/>
        </w:rPr>
      </w:pPr>
      <w:r>
        <w:rPr>
          <w:rStyle w:val="138"/>
          <w:rFonts w:ascii="宋体" w:hAnsi="宋体"/>
          <w:b/>
          <w:color w:val="auto"/>
          <w:kern w:val="0"/>
          <w:sz w:val="24"/>
          <w:szCs w:val="24"/>
        </w:rPr>
        <w:t>定义</w:t>
      </w:r>
    </w:p>
    <w:p w14:paraId="26181E17">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2.1“采购项目”：“</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须知前附表”中所述的采购项目。</w:t>
      </w:r>
    </w:p>
    <w:p w14:paraId="3670DB0B">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2.2“招标人”：“</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须知前附表”中所述的组织本次招标的代理机构和采购人。</w:t>
      </w:r>
    </w:p>
    <w:p w14:paraId="1607B6F5">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2.3“采购人”：是指依法进行政府采购的国家机关、事业单位、团体组织。采购人名称、地址、电话、联系人见“</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须知前附表”。</w:t>
      </w:r>
    </w:p>
    <w:p w14:paraId="57841FDD">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2.4“代理机构”：接受采购人委托，代理采购项目的采购代理机构。代理机构名称、地址、电话、联系人见“</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须知前附表”。</w:t>
      </w:r>
    </w:p>
    <w:p w14:paraId="1A289DCB">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采购代理机构及其分支机构不得在所代理的采购项目中投标或者代理投标，不得为所代理的采购项目的</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参加本项目提供投标咨询。</w:t>
      </w:r>
    </w:p>
    <w:p w14:paraId="5DCBD5CB">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2.5“潜在</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”指符合《中华人民共和国政府采购法》及相关法律法规和本招标文件的各项规定，且按照本项目招标公告及招标文件规定的方式获取招标文件的法人、其他组织或者自然人。</w:t>
      </w:r>
    </w:p>
    <w:p w14:paraId="63BA1727">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2.6“</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422F9D6E">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5F1EEBFB">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2.7.1招标文件列明不允许或未列明允许进口产品参加投标的，均视为拒绝进口产品参加投标。</w:t>
      </w:r>
    </w:p>
    <w:p w14:paraId="5377F6F5">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2.7.2如招标文件中已说明，经财政部门审核同意，允许部分或全部产品采购进口产品，</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既可提供本国产品，也可以提供进口产品。</w:t>
      </w:r>
    </w:p>
    <w:p w14:paraId="1439E0B8">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2.8 招标文件中凡标有“★”的条款均系实质性要求条款。</w:t>
      </w:r>
    </w:p>
    <w:p w14:paraId="15B47C56">
      <w:pPr>
        <w:pStyle w:val="144"/>
        <w:numPr>
          <w:ilvl w:val="0"/>
          <w:numId w:val="2"/>
        </w:numPr>
        <w:snapToGrid w:val="0"/>
        <w:spacing w:line="360" w:lineRule="auto"/>
        <w:ind w:firstLineChars="0"/>
        <w:jc w:val="left"/>
        <w:rPr>
          <w:rStyle w:val="138"/>
          <w:rFonts w:ascii="宋体" w:hAnsi="宋体"/>
          <w:b/>
          <w:color w:val="auto"/>
          <w:kern w:val="0"/>
          <w:sz w:val="24"/>
          <w:szCs w:val="24"/>
        </w:rPr>
      </w:pPr>
      <w:r>
        <w:rPr>
          <w:rStyle w:val="138"/>
          <w:rFonts w:ascii="宋体" w:hAnsi="宋体"/>
          <w:b/>
          <w:color w:val="auto"/>
          <w:kern w:val="0"/>
          <w:sz w:val="24"/>
          <w:szCs w:val="24"/>
        </w:rPr>
        <w:t>合格的</w:t>
      </w:r>
      <w:r>
        <w:rPr>
          <w:rStyle w:val="138"/>
          <w:rFonts w:hint="eastAsia" w:ascii="宋体" w:hAnsi="宋体"/>
          <w:b/>
          <w:color w:val="auto"/>
          <w:kern w:val="0"/>
          <w:sz w:val="24"/>
          <w:szCs w:val="24"/>
          <w:lang w:eastAsia="zh-CN"/>
        </w:rPr>
        <w:t>投标人</w:t>
      </w:r>
    </w:p>
    <w:p w14:paraId="1961D7F0">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3.1在中华人民共和国境内注册，具有本项目生产、制造、供应或实施能力，符合、承认并承诺履行本招标文件各项规定的法人、其他组织或者自然人。</w:t>
      </w:r>
    </w:p>
    <w:p w14:paraId="7B613418">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3.2符合本项目“招标公告”和“</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须知前附表”中规定的合格</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所必须具备的条件。</w:t>
      </w:r>
    </w:p>
    <w:p w14:paraId="4C33F96D">
      <w:pPr>
        <w:snapToGrid w:val="0"/>
        <w:spacing w:line="360" w:lineRule="auto"/>
        <w:ind w:firstLine="472" w:firstLineChars="200"/>
        <w:rPr>
          <w:rStyle w:val="138"/>
          <w:rFonts w:ascii="宋体" w:hAnsi="宋体"/>
          <w:color w:val="auto"/>
          <w:kern w:val="0"/>
          <w:sz w:val="24"/>
          <w:szCs w:val="24"/>
        </w:rPr>
      </w:pPr>
      <w:r>
        <w:rPr>
          <w:rStyle w:val="138"/>
          <w:rFonts w:ascii="宋体" w:hAnsi="宋体"/>
          <w:color w:val="auto"/>
          <w:spacing w:val="-2"/>
          <w:kern w:val="0"/>
          <w:sz w:val="24"/>
          <w:szCs w:val="24"/>
        </w:rPr>
        <w:t>3.3按照财政部《关于在政府采购活动中查询及使用信用记录有关问题的通知》（财库〔2016〕125号）要求，政府采购活动中查询及使用</w:t>
      </w:r>
      <w:r>
        <w:rPr>
          <w:rStyle w:val="138"/>
          <w:rFonts w:hint="eastAsia" w:ascii="宋体" w:hAnsi="宋体"/>
          <w:color w:val="auto"/>
          <w:spacing w:val="-2"/>
          <w:kern w:val="0"/>
          <w:sz w:val="24"/>
          <w:szCs w:val="24"/>
          <w:lang w:val="en-US" w:eastAsia="zh-CN"/>
        </w:rPr>
        <w:t>供应商</w:t>
      </w:r>
      <w:r>
        <w:rPr>
          <w:rStyle w:val="138"/>
          <w:rFonts w:ascii="宋体" w:hAnsi="宋体"/>
          <w:color w:val="auto"/>
          <w:spacing w:val="-2"/>
          <w:kern w:val="0"/>
          <w:sz w:val="24"/>
          <w:szCs w:val="24"/>
        </w:rPr>
        <w:t>信用记录的具体要求为：</w:t>
      </w:r>
      <w:r>
        <w:rPr>
          <w:rStyle w:val="138"/>
          <w:rFonts w:hint="eastAsia" w:ascii="宋体" w:hAnsi="宋体"/>
          <w:color w:val="auto"/>
          <w:spacing w:val="-2"/>
          <w:kern w:val="0"/>
          <w:sz w:val="24"/>
          <w:szCs w:val="24"/>
          <w:lang w:eastAsia="zh-CN"/>
        </w:rPr>
        <w:t>投标人</w:t>
      </w:r>
      <w:r>
        <w:rPr>
          <w:rStyle w:val="138"/>
          <w:rFonts w:ascii="宋体" w:hAnsi="宋体"/>
          <w:color w:val="auto"/>
          <w:spacing w:val="-2"/>
          <w:kern w:val="0"/>
          <w:sz w:val="24"/>
          <w:szCs w:val="24"/>
        </w:rPr>
        <w:t>未被列入失信被执行人、</w:t>
      </w:r>
      <w:r>
        <w:rPr>
          <w:rStyle w:val="138"/>
          <w:rFonts w:hint="eastAsia" w:ascii="宋体" w:hAnsi="宋体"/>
          <w:color w:val="auto"/>
          <w:spacing w:val="-2"/>
          <w:kern w:val="0"/>
          <w:sz w:val="24"/>
          <w:szCs w:val="24"/>
        </w:rPr>
        <w:t>重大税收违法失信主体</w:t>
      </w:r>
      <w:r>
        <w:rPr>
          <w:rStyle w:val="138"/>
          <w:rFonts w:ascii="宋体" w:hAnsi="宋体"/>
          <w:color w:val="auto"/>
          <w:spacing w:val="-2"/>
          <w:kern w:val="0"/>
          <w:sz w:val="24"/>
          <w:szCs w:val="24"/>
        </w:rPr>
        <w:t>、政府采购严重违法失信行为记录名单、严重违法失信社会组织名单（联合体形式投标的，联合体成员存在不良信用记录，视同联合体存在不良信用记录）。</w:t>
      </w:r>
    </w:p>
    <w:p w14:paraId="328515ED">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(1)查询渠道：“信用中国”网站（www.creditchina.gov.cn）、“中国政府采购网”（</w:t>
      </w:r>
      <w:r>
        <w:rPr>
          <w:rStyle w:val="47"/>
          <w:rFonts w:ascii="宋体" w:hAnsi="宋体"/>
          <w:color w:val="auto"/>
          <w:kern w:val="0"/>
          <w:sz w:val="24"/>
          <w:szCs w:val="24"/>
        </w:rPr>
        <w:t>www.ccgp.gov.cn</w:t>
      </w:r>
      <w:r>
        <w:rPr>
          <w:rStyle w:val="138"/>
          <w:rFonts w:ascii="宋体" w:hAnsi="宋体"/>
          <w:color w:val="auto"/>
          <w:kern w:val="0"/>
          <w:sz w:val="24"/>
          <w:szCs w:val="24"/>
        </w:rPr>
        <w:t>）“中国社会组织</w:t>
      </w:r>
      <w:r>
        <w:rPr>
          <w:rStyle w:val="138"/>
          <w:rFonts w:hint="eastAsia" w:ascii="宋体" w:hAnsi="宋体"/>
          <w:color w:val="auto"/>
          <w:kern w:val="0"/>
          <w:sz w:val="24"/>
          <w:szCs w:val="24"/>
        </w:rPr>
        <w:t>政务</w:t>
      </w:r>
      <w:r>
        <w:rPr>
          <w:rStyle w:val="138"/>
          <w:rFonts w:ascii="宋体" w:hAnsi="宋体"/>
          <w:color w:val="auto"/>
          <w:kern w:val="0"/>
          <w:sz w:val="24"/>
          <w:szCs w:val="24"/>
        </w:rPr>
        <w:t>服务平台”网站（</w:t>
      </w:r>
      <w:r>
        <w:rPr>
          <w:rStyle w:val="138"/>
          <w:rFonts w:hint="eastAsia" w:ascii="宋体" w:hAnsi="宋体"/>
          <w:color w:val="auto"/>
          <w:kern w:val="0"/>
          <w:sz w:val="24"/>
          <w:szCs w:val="24"/>
        </w:rPr>
        <w:t>https://chinanpo.mca.gov.cn/</w:t>
      </w:r>
      <w:r>
        <w:rPr>
          <w:rStyle w:val="138"/>
          <w:rFonts w:ascii="宋体" w:hAnsi="宋体"/>
          <w:color w:val="auto"/>
          <w:kern w:val="0"/>
          <w:sz w:val="24"/>
          <w:szCs w:val="24"/>
        </w:rPr>
        <w:t>）；</w:t>
      </w:r>
    </w:p>
    <w:p w14:paraId="1409F290">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(2)截止时间：同投标截止时间；</w:t>
      </w:r>
    </w:p>
    <w:p w14:paraId="7B7CD9C8">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(3)信用信息查询记录和证据留存具体方式：经采购人确认的查询结果网页截图作为查询记录和证据，与其他招标文件一并保存；</w:t>
      </w:r>
    </w:p>
    <w:p w14:paraId="34967C07">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(4)信用信息的使用原则：经采购人认定的被列入失信被执行人、</w:t>
      </w:r>
      <w:r>
        <w:rPr>
          <w:rStyle w:val="138"/>
          <w:rFonts w:hint="eastAsia" w:ascii="宋体" w:hAnsi="宋体"/>
          <w:color w:val="auto"/>
          <w:kern w:val="0"/>
          <w:sz w:val="24"/>
          <w:szCs w:val="24"/>
        </w:rPr>
        <w:t>重大税收违法失信主体</w:t>
      </w:r>
      <w:r>
        <w:rPr>
          <w:rStyle w:val="138"/>
          <w:rFonts w:ascii="宋体" w:hAnsi="宋体"/>
          <w:color w:val="auto"/>
          <w:kern w:val="0"/>
          <w:sz w:val="24"/>
          <w:szCs w:val="24"/>
        </w:rPr>
        <w:t>、政府采购严重违法失信行为记录名单、严重违法失信名单的社会组织的</w:t>
      </w:r>
      <w:r>
        <w:rPr>
          <w:rStyle w:val="138"/>
          <w:rFonts w:hint="eastAsia" w:ascii="宋体" w:hAnsi="宋体"/>
          <w:color w:val="auto"/>
          <w:kern w:val="0"/>
          <w:sz w:val="24"/>
          <w:szCs w:val="24"/>
          <w:lang w:val="en-US" w:eastAsia="zh-CN"/>
        </w:rPr>
        <w:t>供应商</w:t>
      </w:r>
      <w:r>
        <w:rPr>
          <w:rStyle w:val="138"/>
          <w:rFonts w:ascii="宋体" w:hAnsi="宋体"/>
          <w:color w:val="auto"/>
          <w:kern w:val="0"/>
          <w:sz w:val="24"/>
          <w:szCs w:val="24"/>
        </w:rPr>
        <w:t>，将拒绝其参与政府采购活动。</w:t>
      </w:r>
    </w:p>
    <w:p w14:paraId="2EBD4755">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(5)</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不良信用记录以采购人查询结果为准，采购人查询之后，网站信息发生的任何变更不再作为评审依据，</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自行提供的与网站信息不一致的其他证明材料亦不作为评审依据。</w:t>
      </w:r>
    </w:p>
    <w:p w14:paraId="307B282D">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3.4单位负责人为同一人或者存在直接控股、管理关系的不同</w:t>
      </w:r>
      <w:r>
        <w:rPr>
          <w:rStyle w:val="138"/>
          <w:rFonts w:hint="eastAsia" w:ascii="宋体" w:hAnsi="宋体"/>
          <w:color w:val="auto"/>
          <w:kern w:val="0"/>
          <w:sz w:val="24"/>
          <w:szCs w:val="24"/>
          <w:lang w:val="en-US" w:eastAsia="zh-CN"/>
        </w:rPr>
        <w:t>供应商</w:t>
      </w:r>
      <w:r>
        <w:rPr>
          <w:rStyle w:val="138"/>
          <w:rFonts w:ascii="宋体" w:hAnsi="宋体"/>
          <w:color w:val="auto"/>
          <w:kern w:val="0"/>
          <w:sz w:val="24"/>
          <w:szCs w:val="24"/>
        </w:rPr>
        <w:t>，不得参加同一合同项下的政府采购活动；</w:t>
      </w:r>
    </w:p>
    <w:p w14:paraId="5141DA5C">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3.5除单一来源采购项目外，为采购项目提供整体设计、规范编制或者项目管理、监理、检测等服务的</w:t>
      </w:r>
      <w:r>
        <w:rPr>
          <w:rStyle w:val="138"/>
          <w:rFonts w:hint="eastAsia" w:ascii="宋体" w:hAnsi="宋体"/>
          <w:color w:val="auto"/>
          <w:kern w:val="0"/>
          <w:sz w:val="24"/>
          <w:szCs w:val="24"/>
          <w:lang w:val="en-US" w:eastAsia="zh-CN"/>
        </w:rPr>
        <w:t>供应商</w:t>
      </w:r>
      <w:r>
        <w:rPr>
          <w:rStyle w:val="138"/>
          <w:rFonts w:ascii="宋体" w:hAnsi="宋体"/>
          <w:color w:val="auto"/>
          <w:kern w:val="0"/>
          <w:sz w:val="24"/>
          <w:szCs w:val="24"/>
        </w:rPr>
        <w:t>，不得再参加该采购项目的其他采购活动。</w:t>
      </w:r>
    </w:p>
    <w:p w14:paraId="27A200E0">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3.6“招标公告”和“</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须知前附表”规定接受联合体投标的，除应符合本章第3.1项和3.2项要求外，还应遵守以下规定：</w:t>
      </w:r>
    </w:p>
    <w:p w14:paraId="29974666">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（1）在投标文件中向采购人提交联合体协议书，明确联合体各方承担的工作和义务；</w:t>
      </w:r>
    </w:p>
    <w:p w14:paraId="24BFBECC">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（2）联合体中有同类资质的</w:t>
      </w:r>
      <w:r>
        <w:rPr>
          <w:rStyle w:val="138"/>
          <w:rFonts w:hint="eastAsia" w:ascii="宋体" w:hAnsi="宋体"/>
          <w:color w:val="auto"/>
          <w:kern w:val="0"/>
          <w:sz w:val="24"/>
          <w:szCs w:val="24"/>
          <w:lang w:val="en-US" w:eastAsia="zh-CN"/>
        </w:rPr>
        <w:t>供应商</w:t>
      </w:r>
      <w:r>
        <w:rPr>
          <w:rStyle w:val="138"/>
          <w:rFonts w:ascii="宋体" w:hAnsi="宋体"/>
          <w:color w:val="auto"/>
          <w:kern w:val="0"/>
          <w:sz w:val="24"/>
          <w:szCs w:val="24"/>
        </w:rPr>
        <w:t>按联合体分工承担相同工作的，应当按照资质等级较低的</w:t>
      </w:r>
      <w:r>
        <w:rPr>
          <w:rStyle w:val="138"/>
          <w:rFonts w:hint="eastAsia" w:ascii="宋体" w:hAnsi="宋体"/>
          <w:color w:val="auto"/>
          <w:kern w:val="0"/>
          <w:sz w:val="24"/>
          <w:szCs w:val="24"/>
          <w:lang w:val="en-US" w:eastAsia="zh-CN"/>
        </w:rPr>
        <w:t>供应商</w:t>
      </w:r>
      <w:r>
        <w:rPr>
          <w:rStyle w:val="138"/>
          <w:rFonts w:ascii="宋体" w:hAnsi="宋体"/>
          <w:color w:val="auto"/>
          <w:kern w:val="0"/>
          <w:sz w:val="24"/>
          <w:szCs w:val="24"/>
        </w:rPr>
        <w:t>确定资质等级；</w:t>
      </w:r>
    </w:p>
    <w:p w14:paraId="6F41A750">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（3）招标人根据采购项目的特殊要求规定</w:t>
      </w:r>
      <w:r>
        <w:rPr>
          <w:rStyle w:val="138"/>
          <w:rFonts w:hint="eastAsia" w:ascii="宋体" w:hAnsi="宋体"/>
          <w:color w:val="auto"/>
          <w:kern w:val="0"/>
          <w:sz w:val="24"/>
          <w:szCs w:val="24"/>
          <w:lang w:val="en-US" w:eastAsia="zh-CN"/>
        </w:rPr>
        <w:t>供应商</w:t>
      </w:r>
      <w:r>
        <w:rPr>
          <w:rStyle w:val="138"/>
          <w:rFonts w:ascii="宋体" w:hAnsi="宋体"/>
          <w:color w:val="auto"/>
          <w:kern w:val="0"/>
          <w:sz w:val="24"/>
          <w:szCs w:val="24"/>
        </w:rPr>
        <w:t>特定条件的，联合体各方中至少应当有一方符合采购规定的特定条件。</w:t>
      </w:r>
    </w:p>
    <w:p w14:paraId="4E6BE23E">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（4）联合体各方不得再单独参加或者与其他</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另外组成联合体参加同一合同项下的政府采购活动。</w:t>
      </w:r>
    </w:p>
    <w:p w14:paraId="52C53DC9">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（5）联合体各方应当共同与采购人签订采购合同，就采购合同约定的事项对采购人承担连带责任。</w:t>
      </w:r>
    </w:p>
    <w:p w14:paraId="0126A274">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3.7法律、行政法规规定的其他条件。</w:t>
      </w:r>
    </w:p>
    <w:p w14:paraId="55BA87B9">
      <w:pPr>
        <w:pStyle w:val="144"/>
        <w:numPr>
          <w:ilvl w:val="0"/>
          <w:numId w:val="2"/>
        </w:numPr>
        <w:snapToGrid w:val="0"/>
        <w:spacing w:line="360" w:lineRule="auto"/>
        <w:ind w:firstLineChars="0"/>
        <w:rPr>
          <w:rStyle w:val="138"/>
          <w:rFonts w:ascii="宋体" w:hAnsi="宋体"/>
          <w:b/>
          <w:color w:val="auto"/>
          <w:kern w:val="0"/>
          <w:sz w:val="24"/>
          <w:szCs w:val="24"/>
        </w:rPr>
      </w:pPr>
      <w:r>
        <w:rPr>
          <w:rStyle w:val="138"/>
          <w:rFonts w:ascii="宋体" w:hAnsi="宋体"/>
          <w:b/>
          <w:color w:val="auto"/>
          <w:kern w:val="0"/>
          <w:sz w:val="24"/>
          <w:szCs w:val="24"/>
        </w:rPr>
        <w:t>合格的货物和服务</w:t>
      </w:r>
    </w:p>
    <w:p w14:paraId="0D856BAE">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4.1</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578B5003">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4.2</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所提供的服务应当没有侵犯任何第三方的知识产权、技术秘密等合法权利。</w:t>
      </w:r>
    </w:p>
    <w:p w14:paraId="09B19C76">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w:t>
      </w:r>
      <w:r>
        <w:rPr>
          <w:rStyle w:val="138"/>
          <w:rFonts w:hint="eastAsia" w:ascii="宋体" w:hAnsi="宋体"/>
          <w:color w:val="auto"/>
          <w:kern w:val="0"/>
          <w:sz w:val="24"/>
          <w:szCs w:val="24"/>
        </w:rPr>
        <w:t>处于有效期之内的节能产品认证证书</w:t>
      </w:r>
      <w:r>
        <w:rPr>
          <w:rStyle w:val="138"/>
          <w:rFonts w:ascii="宋体" w:hAnsi="宋体"/>
          <w:color w:val="auto"/>
          <w:kern w:val="0"/>
          <w:sz w:val="24"/>
          <w:szCs w:val="24"/>
        </w:rPr>
        <w:t>，否则其投标将被拒绝。</w:t>
      </w:r>
    </w:p>
    <w:p w14:paraId="5886557B">
      <w:pPr>
        <w:snapToGrid w:val="0"/>
        <w:spacing w:line="360" w:lineRule="auto"/>
        <w:ind w:firstLine="480" w:firstLineChars="200"/>
        <w:rPr>
          <w:rStyle w:val="138"/>
          <w:rFonts w:ascii="宋体" w:hAnsi="宋体" w:eastAsia="宋体" w:cs="Times New Roman"/>
          <w:color w:val="auto"/>
          <w:kern w:val="0"/>
          <w:sz w:val="24"/>
          <w:szCs w:val="24"/>
        </w:rPr>
      </w:pPr>
      <w:r>
        <w:rPr>
          <w:rStyle w:val="138"/>
          <w:rFonts w:hint="eastAsia" w:ascii="宋体" w:hAnsi="宋体" w:eastAsia="宋体" w:cs="Times New Roman"/>
          <w:color w:val="auto"/>
          <w:kern w:val="0"/>
          <w:sz w:val="24"/>
          <w:szCs w:val="24"/>
        </w:rPr>
        <w:t>4.4根据国家互联网信息办公室、工业和信息化部、公安部和国家认证认可监督管理委员会2023年第2号《关于调整</w:t>
      </w:r>
      <w:r>
        <w:rPr>
          <w:rStyle w:val="138"/>
          <w:rFonts w:hint="eastAsia" w:ascii="宋体" w:hAnsi="宋体" w:eastAsia="宋体" w:cs="Times New Roman"/>
          <w:color w:val="auto"/>
          <w:kern w:val="0"/>
          <w:sz w:val="24"/>
          <w:szCs w:val="24"/>
          <w:lang w:eastAsia="zh-CN"/>
        </w:rPr>
        <w:t>〈</w:t>
      </w:r>
      <w:r>
        <w:rPr>
          <w:rStyle w:val="138"/>
          <w:rFonts w:hint="eastAsia" w:ascii="宋体" w:hAnsi="宋体" w:eastAsia="宋体" w:cs="Times New Roman"/>
          <w:color w:val="auto"/>
          <w:kern w:val="0"/>
          <w:sz w:val="24"/>
          <w:szCs w:val="24"/>
        </w:rPr>
        <w:t>网络关键设备和网络安全专用产品目录</w:t>
      </w:r>
      <w:r>
        <w:rPr>
          <w:rStyle w:val="138"/>
          <w:rFonts w:hint="eastAsia" w:ascii="宋体" w:hAnsi="宋体" w:eastAsia="宋体" w:cs="Times New Roman"/>
          <w:color w:val="auto"/>
          <w:kern w:val="0"/>
          <w:sz w:val="24"/>
          <w:szCs w:val="24"/>
          <w:lang w:eastAsia="zh-CN"/>
        </w:rPr>
        <w:t>〉</w:t>
      </w:r>
      <w:r>
        <w:rPr>
          <w:rStyle w:val="138"/>
          <w:rFonts w:hint="eastAsia" w:ascii="宋体" w:hAnsi="宋体" w:eastAsia="宋体" w:cs="Times New Roman"/>
          <w:color w:val="auto"/>
          <w:kern w:val="0"/>
          <w:sz w:val="24"/>
          <w:szCs w:val="24"/>
        </w:rPr>
        <w:t>的公告》及国家互联网信息办公室、工业和信息化部、公安部、财政部和国家认证认可监督管理委员会2023年第1号《关于调整网络安全专用产品安全管理有关事项的公告》等相关文件要求，项目中涉及网络关键设备或网络安全专用产品的，至少符合以下条件之一：一是已具备资格的机构安全认证合格或安全检测符合要求；二是已获得《计算机信息系统安全专用产品销售许可证》，且在有效期内。</w:t>
      </w:r>
    </w:p>
    <w:p w14:paraId="195848C7">
      <w:pPr>
        <w:pStyle w:val="144"/>
        <w:numPr>
          <w:ilvl w:val="0"/>
          <w:numId w:val="2"/>
        </w:numPr>
        <w:snapToGrid w:val="0"/>
        <w:spacing w:line="360" w:lineRule="auto"/>
        <w:ind w:firstLineChars="0"/>
        <w:rPr>
          <w:rStyle w:val="138"/>
          <w:rFonts w:ascii="宋体" w:hAnsi="宋体"/>
          <w:b/>
          <w:color w:val="auto"/>
          <w:kern w:val="0"/>
          <w:sz w:val="24"/>
          <w:szCs w:val="24"/>
        </w:rPr>
      </w:pPr>
      <w:r>
        <w:rPr>
          <w:rStyle w:val="138"/>
          <w:rFonts w:ascii="宋体" w:hAnsi="宋体"/>
          <w:b/>
          <w:color w:val="auto"/>
          <w:kern w:val="0"/>
          <w:sz w:val="24"/>
          <w:szCs w:val="24"/>
        </w:rPr>
        <w:t>投标费用</w:t>
      </w:r>
    </w:p>
    <w:p w14:paraId="2EE796EE">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不论投标的结果如何，</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均应自行承担所有与投标有关的全部费用，招标人在任何情况下均无义务和责任承担这些费用。</w:t>
      </w:r>
    </w:p>
    <w:p w14:paraId="50A27DB2">
      <w:pPr>
        <w:pStyle w:val="144"/>
        <w:numPr>
          <w:ilvl w:val="0"/>
          <w:numId w:val="2"/>
        </w:numPr>
        <w:snapToGrid w:val="0"/>
        <w:spacing w:line="360" w:lineRule="auto"/>
        <w:ind w:firstLineChars="0"/>
        <w:rPr>
          <w:rStyle w:val="138"/>
          <w:rFonts w:ascii="宋体" w:hAnsi="宋体"/>
          <w:b/>
          <w:color w:val="auto"/>
          <w:kern w:val="0"/>
          <w:sz w:val="24"/>
          <w:szCs w:val="24"/>
        </w:rPr>
      </w:pPr>
      <w:r>
        <w:rPr>
          <w:rStyle w:val="138"/>
          <w:rFonts w:ascii="宋体" w:hAnsi="宋体"/>
          <w:b/>
          <w:color w:val="auto"/>
          <w:kern w:val="0"/>
          <w:sz w:val="24"/>
          <w:szCs w:val="24"/>
        </w:rPr>
        <w:t>信息发布</w:t>
      </w:r>
    </w:p>
    <w:p w14:paraId="7D857D28">
      <w:pPr>
        <w:snapToGrid w:val="0"/>
        <w:spacing w:line="360" w:lineRule="auto"/>
        <w:ind w:firstLine="468" w:firstLineChars="200"/>
        <w:rPr>
          <w:rStyle w:val="138"/>
          <w:rFonts w:ascii="宋体" w:hAnsi="宋体"/>
          <w:color w:val="auto"/>
          <w:spacing w:val="-3"/>
          <w:kern w:val="0"/>
          <w:sz w:val="24"/>
          <w:szCs w:val="24"/>
        </w:rPr>
      </w:pPr>
      <w:r>
        <w:rPr>
          <w:rStyle w:val="138"/>
          <w:rFonts w:ascii="宋体" w:hAnsi="宋体"/>
          <w:color w:val="auto"/>
          <w:spacing w:val="-3"/>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全国公共资源交易平台（河南省·许昌市）》公开发布。</w:t>
      </w:r>
      <w:r>
        <w:rPr>
          <w:rStyle w:val="138"/>
          <w:rFonts w:hint="eastAsia" w:ascii="宋体" w:hAnsi="宋体"/>
          <w:color w:val="auto"/>
          <w:spacing w:val="-3"/>
          <w:kern w:val="0"/>
          <w:sz w:val="24"/>
          <w:szCs w:val="24"/>
          <w:lang w:eastAsia="zh-CN"/>
        </w:rPr>
        <w:t>投标人</w:t>
      </w:r>
      <w:r>
        <w:rPr>
          <w:rStyle w:val="138"/>
          <w:rFonts w:ascii="宋体" w:hAnsi="宋体"/>
          <w:color w:val="auto"/>
          <w:spacing w:val="-3"/>
          <w:kern w:val="0"/>
          <w:sz w:val="24"/>
          <w:szCs w:val="24"/>
        </w:rPr>
        <w:t>在参与本采购项目招投标活动期间，请及时关注以上媒体上的相关信息，</w:t>
      </w:r>
      <w:r>
        <w:rPr>
          <w:rStyle w:val="138"/>
          <w:rFonts w:hint="eastAsia" w:ascii="宋体" w:hAnsi="宋体"/>
          <w:color w:val="auto"/>
          <w:spacing w:val="-3"/>
          <w:kern w:val="0"/>
          <w:sz w:val="24"/>
          <w:szCs w:val="24"/>
          <w:lang w:eastAsia="zh-CN"/>
        </w:rPr>
        <w:t>投标人</w:t>
      </w:r>
      <w:r>
        <w:rPr>
          <w:rStyle w:val="138"/>
          <w:rFonts w:ascii="宋体" w:hAnsi="宋体"/>
          <w:color w:val="auto"/>
          <w:spacing w:val="-3"/>
          <w:kern w:val="0"/>
          <w:sz w:val="24"/>
          <w:szCs w:val="24"/>
        </w:rPr>
        <w:t>因没有及时关注而未能如期获取相关信息，及因此所产生的一切后果和责任，由</w:t>
      </w:r>
      <w:r>
        <w:rPr>
          <w:rStyle w:val="138"/>
          <w:rFonts w:hint="eastAsia" w:ascii="宋体" w:hAnsi="宋体"/>
          <w:color w:val="auto"/>
          <w:spacing w:val="-3"/>
          <w:kern w:val="0"/>
          <w:sz w:val="24"/>
          <w:szCs w:val="24"/>
          <w:lang w:eastAsia="zh-CN"/>
        </w:rPr>
        <w:t>投标人</w:t>
      </w:r>
      <w:r>
        <w:rPr>
          <w:rStyle w:val="138"/>
          <w:rFonts w:ascii="宋体" w:hAnsi="宋体"/>
          <w:color w:val="auto"/>
          <w:spacing w:val="-3"/>
          <w:kern w:val="0"/>
          <w:sz w:val="24"/>
          <w:szCs w:val="24"/>
        </w:rPr>
        <w:t>自行承担，招标人在任何情况下均不对此承担任何责任。</w:t>
      </w:r>
    </w:p>
    <w:p w14:paraId="0E5EC8CF">
      <w:pPr>
        <w:pStyle w:val="144"/>
        <w:numPr>
          <w:ilvl w:val="0"/>
          <w:numId w:val="2"/>
        </w:numPr>
        <w:snapToGrid w:val="0"/>
        <w:spacing w:line="360" w:lineRule="auto"/>
        <w:ind w:firstLineChars="0"/>
        <w:rPr>
          <w:rStyle w:val="138"/>
          <w:rFonts w:ascii="宋体" w:hAnsi="宋体"/>
          <w:b/>
          <w:color w:val="auto"/>
          <w:kern w:val="0"/>
          <w:sz w:val="24"/>
          <w:szCs w:val="24"/>
        </w:rPr>
      </w:pPr>
      <w:r>
        <w:rPr>
          <w:rStyle w:val="138"/>
          <w:rFonts w:ascii="宋体" w:hAnsi="宋体"/>
          <w:b/>
          <w:color w:val="auto"/>
          <w:kern w:val="0"/>
          <w:sz w:val="24"/>
          <w:szCs w:val="24"/>
        </w:rPr>
        <w:t>采购代理机构代理费用收取标准和方式</w:t>
      </w:r>
    </w:p>
    <w:p w14:paraId="4D806BAA">
      <w:pPr>
        <w:snapToGrid w:val="0"/>
        <w:spacing w:line="360" w:lineRule="auto"/>
        <w:ind w:firstLine="480" w:firstLineChars="200"/>
        <w:rPr>
          <w:rStyle w:val="138"/>
          <w:rFonts w:hint="eastAsia" w:ascii="宋体" w:hAnsi="宋体" w:eastAsia="宋体" w:cs="Times New Roman"/>
          <w:color w:val="auto"/>
          <w:kern w:val="0"/>
          <w:sz w:val="24"/>
          <w:szCs w:val="24"/>
        </w:rPr>
      </w:pPr>
      <w:r>
        <w:rPr>
          <w:rStyle w:val="138"/>
          <w:rFonts w:hint="eastAsia" w:ascii="宋体" w:hAnsi="宋体" w:eastAsia="宋体" w:cs="Times New Roman"/>
          <w:color w:val="auto"/>
          <w:kern w:val="0"/>
          <w:sz w:val="24"/>
          <w:szCs w:val="24"/>
        </w:rPr>
        <w:t>本项目收取代理费用。收取标准</w:t>
      </w:r>
      <w:r>
        <w:rPr>
          <w:rStyle w:val="138"/>
          <w:rFonts w:hint="eastAsia" w:ascii="宋体" w:hAnsi="宋体" w:eastAsia="宋体" w:cs="Times New Roman"/>
          <w:color w:val="auto"/>
          <w:kern w:val="0"/>
          <w:sz w:val="24"/>
          <w:szCs w:val="24"/>
          <w:lang w:eastAsia="zh-CN"/>
        </w:rPr>
        <w:t>和方式</w:t>
      </w:r>
      <w:r>
        <w:rPr>
          <w:rStyle w:val="138"/>
          <w:rFonts w:hint="eastAsia" w:ascii="宋体" w:hAnsi="宋体" w:eastAsia="宋体" w:cs="Times New Roman"/>
          <w:color w:val="auto"/>
          <w:kern w:val="0"/>
          <w:sz w:val="24"/>
          <w:szCs w:val="24"/>
        </w:rPr>
        <w:t>详见供应商须知前附表。</w:t>
      </w:r>
    </w:p>
    <w:p w14:paraId="14E1B19E">
      <w:pPr>
        <w:pStyle w:val="144"/>
        <w:numPr>
          <w:ilvl w:val="0"/>
          <w:numId w:val="2"/>
        </w:numPr>
        <w:snapToGrid w:val="0"/>
        <w:spacing w:line="360" w:lineRule="auto"/>
        <w:ind w:firstLineChars="0"/>
        <w:rPr>
          <w:rStyle w:val="138"/>
          <w:rFonts w:ascii="宋体" w:hAnsi="宋体"/>
          <w:b/>
          <w:color w:val="auto"/>
          <w:kern w:val="0"/>
          <w:sz w:val="24"/>
          <w:szCs w:val="24"/>
        </w:rPr>
      </w:pPr>
      <w:r>
        <w:rPr>
          <w:rStyle w:val="138"/>
          <w:rFonts w:ascii="宋体" w:hAnsi="宋体"/>
          <w:b/>
          <w:color w:val="auto"/>
          <w:kern w:val="0"/>
          <w:sz w:val="24"/>
          <w:szCs w:val="24"/>
        </w:rPr>
        <w:t>其他</w:t>
      </w:r>
    </w:p>
    <w:p w14:paraId="588B6C9B">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本“</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须知”的条款如与“投标邀请（招标公告）”、“项目需求”、“</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须知前附表”和“资格审查与评标”就同一内容的表述不一致的，以“招标公告”、“ 项目需求”、 “</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须知前附表”和“资格审查与评标”中规定的内容为准。</w:t>
      </w:r>
    </w:p>
    <w:p w14:paraId="5907FC8F">
      <w:pPr>
        <w:tabs>
          <w:tab w:val="left" w:pos="1260"/>
        </w:tabs>
        <w:snapToGrid w:val="0"/>
        <w:spacing w:line="360" w:lineRule="auto"/>
        <w:jc w:val="center"/>
        <w:rPr>
          <w:rStyle w:val="138"/>
          <w:rFonts w:ascii="宋体" w:hAnsi="宋体"/>
          <w:b/>
          <w:color w:val="auto"/>
          <w:kern w:val="0"/>
          <w:sz w:val="24"/>
          <w:szCs w:val="24"/>
        </w:rPr>
      </w:pPr>
      <w:r>
        <w:rPr>
          <w:rStyle w:val="138"/>
          <w:rFonts w:ascii="宋体" w:hAnsi="宋体"/>
          <w:b/>
          <w:color w:val="auto"/>
          <w:kern w:val="0"/>
          <w:sz w:val="24"/>
          <w:szCs w:val="24"/>
        </w:rPr>
        <w:t>二、招标文件说明</w:t>
      </w:r>
    </w:p>
    <w:p w14:paraId="46755739">
      <w:pPr>
        <w:pStyle w:val="143"/>
        <w:numPr>
          <w:ilvl w:val="0"/>
          <w:numId w:val="2"/>
        </w:numPr>
        <w:snapToGrid w:val="0"/>
        <w:spacing w:line="360" w:lineRule="auto"/>
        <w:ind w:firstLineChars="0"/>
        <w:rPr>
          <w:rStyle w:val="138"/>
          <w:rFonts w:ascii="宋体" w:hAnsi="宋体"/>
          <w:b/>
          <w:color w:val="auto"/>
          <w:kern w:val="0"/>
          <w:sz w:val="24"/>
          <w:szCs w:val="24"/>
        </w:rPr>
      </w:pPr>
      <w:r>
        <w:rPr>
          <w:rStyle w:val="138"/>
          <w:rFonts w:ascii="宋体" w:hAnsi="宋体"/>
          <w:b/>
          <w:color w:val="auto"/>
          <w:kern w:val="0"/>
          <w:sz w:val="24"/>
          <w:szCs w:val="24"/>
        </w:rPr>
        <w:t>招标文件构成</w:t>
      </w:r>
    </w:p>
    <w:p w14:paraId="02ED713F">
      <w:pPr>
        <w:pStyle w:val="143"/>
        <w:numPr>
          <w:ilvl w:val="0"/>
          <w:numId w:val="3"/>
        </w:numPr>
        <w:snapToGrid w:val="0"/>
        <w:spacing w:line="360" w:lineRule="auto"/>
        <w:ind w:left="544" w:firstLineChars="0"/>
        <w:rPr>
          <w:rStyle w:val="138"/>
          <w:rFonts w:ascii="宋体" w:hAnsi="宋体"/>
          <w:color w:val="auto"/>
          <w:kern w:val="0"/>
          <w:sz w:val="24"/>
          <w:szCs w:val="24"/>
        </w:rPr>
      </w:pPr>
      <w:r>
        <w:rPr>
          <w:rStyle w:val="138"/>
          <w:rFonts w:ascii="宋体" w:hAnsi="宋体"/>
          <w:color w:val="auto"/>
          <w:kern w:val="0"/>
          <w:sz w:val="24"/>
          <w:szCs w:val="24"/>
        </w:rPr>
        <w:t>招标文件由以下部分组成：</w:t>
      </w:r>
    </w:p>
    <w:p w14:paraId="619662D5">
      <w:pPr>
        <w:snapToGrid w:val="0"/>
        <w:spacing w:line="360" w:lineRule="auto"/>
        <w:ind w:left="420" w:leftChars="200"/>
        <w:rPr>
          <w:rStyle w:val="138"/>
          <w:rFonts w:ascii="宋体" w:hAnsi="宋体"/>
          <w:color w:val="auto"/>
          <w:kern w:val="0"/>
          <w:sz w:val="24"/>
          <w:szCs w:val="24"/>
        </w:rPr>
      </w:pPr>
      <w:r>
        <w:rPr>
          <w:rStyle w:val="138"/>
          <w:rFonts w:ascii="宋体" w:hAnsi="宋体"/>
          <w:color w:val="auto"/>
          <w:kern w:val="0"/>
          <w:sz w:val="24"/>
          <w:szCs w:val="24"/>
        </w:rPr>
        <w:t>（1）投标邀请（招标公告）</w:t>
      </w:r>
    </w:p>
    <w:p w14:paraId="4B798B7F">
      <w:pPr>
        <w:snapToGrid w:val="0"/>
        <w:spacing w:line="360" w:lineRule="auto"/>
        <w:ind w:left="420" w:leftChars="200"/>
        <w:rPr>
          <w:rStyle w:val="138"/>
          <w:rFonts w:ascii="宋体" w:hAnsi="宋体"/>
          <w:color w:val="auto"/>
          <w:kern w:val="0"/>
          <w:sz w:val="24"/>
          <w:szCs w:val="24"/>
        </w:rPr>
      </w:pPr>
      <w:r>
        <w:rPr>
          <w:rStyle w:val="138"/>
          <w:rFonts w:ascii="宋体" w:hAnsi="宋体"/>
          <w:color w:val="auto"/>
          <w:kern w:val="0"/>
          <w:sz w:val="24"/>
          <w:szCs w:val="24"/>
        </w:rPr>
        <w:t>（2）项目需求</w:t>
      </w:r>
    </w:p>
    <w:p w14:paraId="35E7491E">
      <w:pPr>
        <w:snapToGrid w:val="0"/>
        <w:spacing w:line="360" w:lineRule="auto"/>
        <w:ind w:left="420" w:leftChars="200"/>
        <w:rPr>
          <w:rStyle w:val="138"/>
          <w:rFonts w:ascii="宋体" w:hAnsi="宋体"/>
          <w:color w:val="auto"/>
          <w:kern w:val="0"/>
          <w:sz w:val="24"/>
          <w:szCs w:val="24"/>
        </w:rPr>
      </w:pPr>
      <w:r>
        <w:rPr>
          <w:rStyle w:val="138"/>
          <w:rFonts w:ascii="宋体" w:hAnsi="宋体"/>
          <w:color w:val="auto"/>
          <w:kern w:val="0"/>
          <w:sz w:val="24"/>
          <w:szCs w:val="24"/>
        </w:rPr>
        <w:t>（3）</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须知前附表</w:t>
      </w:r>
    </w:p>
    <w:p w14:paraId="34F63833">
      <w:pPr>
        <w:snapToGrid w:val="0"/>
        <w:spacing w:line="360" w:lineRule="auto"/>
        <w:ind w:left="420" w:leftChars="200"/>
        <w:rPr>
          <w:rStyle w:val="138"/>
          <w:rFonts w:ascii="宋体" w:hAnsi="宋体"/>
          <w:color w:val="auto"/>
          <w:kern w:val="0"/>
          <w:sz w:val="24"/>
          <w:szCs w:val="24"/>
        </w:rPr>
      </w:pPr>
      <w:r>
        <w:rPr>
          <w:rStyle w:val="138"/>
          <w:rFonts w:ascii="宋体" w:hAnsi="宋体"/>
          <w:color w:val="auto"/>
          <w:kern w:val="0"/>
          <w:sz w:val="24"/>
          <w:szCs w:val="24"/>
        </w:rPr>
        <w:t>（4）</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须知</w:t>
      </w:r>
    </w:p>
    <w:p w14:paraId="45612156">
      <w:pPr>
        <w:snapToGrid w:val="0"/>
        <w:spacing w:line="360" w:lineRule="auto"/>
        <w:ind w:left="420" w:leftChars="200"/>
        <w:rPr>
          <w:rStyle w:val="138"/>
          <w:rFonts w:ascii="宋体" w:hAnsi="宋体"/>
          <w:color w:val="auto"/>
          <w:kern w:val="0"/>
          <w:sz w:val="24"/>
          <w:szCs w:val="24"/>
        </w:rPr>
      </w:pPr>
      <w:r>
        <w:rPr>
          <w:rStyle w:val="138"/>
          <w:rFonts w:ascii="宋体" w:hAnsi="宋体"/>
          <w:color w:val="auto"/>
          <w:kern w:val="0"/>
          <w:sz w:val="24"/>
          <w:szCs w:val="24"/>
        </w:rPr>
        <w:t>（5）政府采购政策功能</w:t>
      </w:r>
    </w:p>
    <w:p w14:paraId="4B43A503">
      <w:pPr>
        <w:snapToGrid w:val="0"/>
        <w:spacing w:line="360" w:lineRule="auto"/>
        <w:ind w:left="420" w:leftChars="200"/>
        <w:rPr>
          <w:rStyle w:val="138"/>
          <w:rFonts w:ascii="宋体" w:hAnsi="宋体"/>
          <w:color w:val="auto"/>
          <w:kern w:val="0"/>
          <w:sz w:val="24"/>
          <w:szCs w:val="24"/>
        </w:rPr>
      </w:pPr>
      <w:r>
        <w:rPr>
          <w:rStyle w:val="138"/>
          <w:rFonts w:ascii="宋体" w:hAnsi="宋体"/>
          <w:color w:val="auto"/>
          <w:kern w:val="0"/>
          <w:sz w:val="24"/>
          <w:szCs w:val="24"/>
        </w:rPr>
        <w:t>（6）资格审查与评标</w:t>
      </w:r>
    </w:p>
    <w:p w14:paraId="179ED1DE">
      <w:pPr>
        <w:snapToGrid w:val="0"/>
        <w:spacing w:line="360" w:lineRule="auto"/>
        <w:ind w:left="420" w:leftChars="200"/>
        <w:rPr>
          <w:rStyle w:val="138"/>
          <w:rFonts w:ascii="宋体" w:hAnsi="宋体"/>
          <w:color w:val="auto"/>
          <w:kern w:val="0"/>
          <w:sz w:val="24"/>
          <w:szCs w:val="24"/>
        </w:rPr>
      </w:pPr>
      <w:r>
        <w:rPr>
          <w:rStyle w:val="138"/>
          <w:rFonts w:ascii="宋体" w:hAnsi="宋体"/>
          <w:color w:val="auto"/>
          <w:kern w:val="0"/>
          <w:sz w:val="24"/>
          <w:szCs w:val="24"/>
        </w:rPr>
        <w:t>（7）合同条款及格式</w:t>
      </w:r>
    </w:p>
    <w:p w14:paraId="6654CB21">
      <w:pPr>
        <w:snapToGrid w:val="0"/>
        <w:spacing w:line="360" w:lineRule="auto"/>
        <w:ind w:left="420" w:leftChars="200"/>
        <w:rPr>
          <w:rStyle w:val="138"/>
          <w:rFonts w:ascii="宋体" w:hAnsi="宋体"/>
          <w:color w:val="auto"/>
          <w:kern w:val="0"/>
          <w:sz w:val="24"/>
          <w:szCs w:val="24"/>
        </w:rPr>
      </w:pPr>
      <w:r>
        <w:rPr>
          <w:rStyle w:val="138"/>
          <w:rFonts w:ascii="宋体" w:hAnsi="宋体"/>
          <w:color w:val="auto"/>
          <w:kern w:val="0"/>
          <w:sz w:val="24"/>
          <w:szCs w:val="24"/>
        </w:rPr>
        <w:t>（8）投标文件有关格式</w:t>
      </w:r>
    </w:p>
    <w:p w14:paraId="4D3C2173">
      <w:pPr>
        <w:snapToGrid w:val="0"/>
        <w:spacing w:line="360" w:lineRule="auto"/>
        <w:ind w:left="420" w:leftChars="200"/>
        <w:rPr>
          <w:rStyle w:val="138"/>
          <w:rFonts w:ascii="宋体" w:hAnsi="宋体"/>
          <w:color w:val="auto"/>
          <w:kern w:val="0"/>
          <w:sz w:val="24"/>
          <w:szCs w:val="24"/>
        </w:rPr>
      </w:pPr>
      <w:r>
        <w:rPr>
          <w:rStyle w:val="138"/>
          <w:rFonts w:ascii="宋体" w:hAnsi="宋体"/>
          <w:color w:val="auto"/>
          <w:kern w:val="0"/>
          <w:sz w:val="24"/>
          <w:szCs w:val="24"/>
        </w:rPr>
        <w:t>（9）本项目招标文件的澄清、答复、修改、补充内容（如有）</w:t>
      </w:r>
    </w:p>
    <w:p w14:paraId="7ED901C3">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9.2</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自行承担。</w:t>
      </w:r>
    </w:p>
    <w:p w14:paraId="22AEFC13">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9.3</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9C13ECC">
      <w:pPr>
        <w:pStyle w:val="144"/>
        <w:numPr>
          <w:ilvl w:val="0"/>
          <w:numId w:val="2"/>
        </w:numPr>
        <w:snapToGrid w:val="0"/>
        <w:spacing w:line="360" w:lineRule="auto"/>
        <w:ind w:firstLineChars="0"/>
        <w:rPr>
          <w:rStyle w:val="138"/>
          <w:rFonts w:ascii="宋体" w:hAnsi="宋体"/>
          <w:b/>
          <w:color w:val="auto"/>
          <w:kern w:val="0"/>
          <w:sz w:val="24"/>
          <w:szCs w:val="24"/>
        </w:rPr>
      </w:pPr>
      <w:r>
        <w:rPr>
          <w:rStyle w:val="138"/>
          <w:rFonts w:ascii="宋体" w:hAnsi="宋体"/>
          <w:b/>
          <w:color w:val="auto"/>
          <w:kern w:val="0"/>
          <w:sz w:val="24"/>
          <w:szCs w:val="24"/>
        </w:rPr>
        <w:t>现场考察、开标前答疑会</w:t>
      </w:r>
      <w:r>
        <w:rPr>
          <w:rFonts w:hint="eastAsia" w:ascii="宋体" w:hAnsi="宋体" w:cs="宋体"/>
          <w:b/>
          <w:color w:val="auto"/>
          <w:kern w:val="0"/>
          <w:sz w:val="24"/>
          <w:szCs w:val="24"/>
        </w:rPr>
        <w:t>（如有）</w:t>
      </w:r>
    </w:p>
    <w:p w14:paraId="003F3B81">
      <w:pPr>
        <w:snapToGrid w:val="0"/>
        <w:spacing w:line="360" w:lineRule="auto"/>
        <w:ind w:firstLine="480" w:firstLineChars="200"/>
        <w:rPr>
          <w:rStyle w:val="138"/>
          <w:rFonts w:ascii="宋体" w:hAnsi="宋体"/>
          <w:b/>
          <w:color w:val="auto"/>
          <w:kern w:val="0"/>
          <w:sz w:val="24"/>
          <w:szCs w:val="24"/>
        </w:rPr>
      </w:pPr>
      <w:r>
        <w:rPr>
          <w:rStyle w:val="138"/>
          <w:rFonts w:ascii="宋体" w:hAnsi="宋体"/>
          <w:color w:val="auto"/>
          <w:kern w:val="0"/>
          <w:sz w:val="24"/>
          <w:szCs w:val="24"/>
        </w:rPr>
        <w:t>10.1招标人根据采购项目的具体情况，可以在招标文件公告期满后，组织已获取招标文件的潜在</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现场考察或者召开开标前答疑会。</w:t>
      </w:r>
    </w:p>
    <w:p w14:paraId="10EBEE75">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10.1.1招标人组织现场考察或者召开开标前答疑会的，所有</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应按“</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须知前附表”规定的时间、地点前往参加现场考察或者开标前答疑会。</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如不参加，其风险由</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自行承担，招标人不承担任何责任。</w:t>
      </w:r>
    </w:p>
    <w:p w14:paraId="1B03965D">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14:paraId="3E7CBB85">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10.3招标人在考察现场和开标前答疑会口头介绍的情况，除招标人事后形成书面记录、并以澄清或修改公告的形式发布、构成招标文件的组成部分以外，其他内容仅供</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在编制投标文件时参考，招标人不对</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据此作出的判断和决策负责。</w:t>
      </w:r>
    </w:p>
    <w:p w14:paraId="5A2A52D1">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10.4现场考察及参加开标前答疑会所发生的费用及一切责任由</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自行承担。</w:t>
      </w:r>
    </w:p>
    <w:p w14:paraId="11267E0F">
      <w:pPr>
        <w:pStyle w:val="144"/>
        <w:numPr>
          <w:ilvl w:val="0"/>
          <w:numId w:val="2"/>
        </w:numPr>
        <w:snapToGrid w:val="0"/>
        <w:spacing w:line="360" w:lineRule="auto"/>
        <w:ind w:firstLineChars="0"/>
        <w:rPr>
          <w:rStyle w:val="138"/>
          <w:rFonts w:ascii="宋体" w:hAnsi="宋体"/>
          <w:b/>
          <w:color w:val="auto"/>
          <w:kern w:val="0"/>
          <w:sz w:val="24"/>
          <w:szCs w:val="24"/>
        </w:rPr>
      </w:pPr>
      <w:r>
        <w:rPr>
          <w:rStyle w:val="138"/>
          <w:rFonts w:ascii="宋体" w:hAnsi="宋体"/>
          <w:b/>
          <w:color w:val="auto"/>
          <w:kern w:val="0"/>
          <w:sz w:val="24"/>
          <w:szCs w:val="24"/>
        </w:rPr>
        <w:t>招标文件的澄清或修改</w:t>
      </w:r>
    </w:p>
    <w:p w14:paraId="6D825722">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11.1在投标截止期前，无论出于何种原因，招标人可主动地或在解答潜在</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提出的澄清问题时对招标文件进行修改。</w:t>
      </w:r>
    </w:p>
    <w:p w14:paraId="6709E0C4">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14:paraId="5242997F">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11.3澄清或修改公告的内容为招标文件的组成部分，并对</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具有约束力。当招标文件与澄清或修改公告就同一内容的表述不一致时，以最后发出的文件内容为准。</w:t>
      </w:r>
    </w:p>
    <w:p w14:paraId="1A3BB381">
      <w:pPr>
        <w:pStyle w:val="143"/>
        <w:snapToGrid w:val="0"/>
        <w:spacing w:line="360" w:lineRule="auto"/>
        <w:ind w:firstLine="480"/>
        <w:rPr>
          <w:rStyle w:val="138"/>
          <w:rFonts w:ascii="宋体" w:hAnsi="宋体"/>
          <w:color w:val="auto"/>
          <w:kern w:val="0"/>
          <w:sz w:val="24"/>
          <w:szCs w:val="24"/>
        </w:rPr>
      </w:pPr>
      <w:r>
        <w:rPr>
          <w:rStyle w:val="138"/>
          <w:rFonts w:ascii="宋体" w:hAnsi="宋体"/>
          <w:color w:val="auto"/>
          <w:kern w:val="0"/>
          <w:sz w:val="24"/>
          <w:szCs w:val="24"/>
        </w:rPr>
        <w:t>11.4如果澄清或者修改发出的时间距规定的投标截止时间不足15日，招标人将顺延提交投标文件的截止时间。</w:t>
      </w:r>
    </w:p>
    <w:p w14:paraId="1CFA4F48">
      <w:pPr>
        <w:tabs>
          <w:tab w:val="left" w:pos="1260"/>
        </w:tabs>
        <w:snapToGrid w:val="0"/>
        <w:spacing w:line="360" w:lineRule="auto"/>
        <w:jc w:val="center"/>
        <w:rPr>
          <w:rStyle w:val="138"/>
          <w:rFonts w:ascii="宋体" w:hAnsi="宋体"/>
          <w:b/>
          <w:color w:val="auto"/>
          <w:kern w:val="0"/>
          <w:sz w:val="24"/>
          <w:szCs w:val="24"/>
        </w:rPr>
      </w:pPr>
      <w:r>
        <w:rPr>
          <w:rStyle w:val="138"/>
          <w:rFonts w:ascii="宋体" w:hAnsi="宋体"/>
          <w:b/>
          <w:color w:val="auto"/>
          <w:kern w:val="0"/>
          <w:sz w:val="24"/>
          <w:szCs w:val="24"/>
        </w:rPr>
        <w:t>三、投标文件的编制</w:t>
      </w:r>
    </w:p>
    <w:p w14:paraId="4425BE64">
      <w:pPr>
        <w:pStyle w:val="143"/>
        <w:numPr>
          <w:ilvl w:val="0"/>
          <w:numId w:val="2"/>
        </w:numPr>
        <w:snapToGrid w:val="0"/>
        <w:spacing w:line="360" w:lineRule="auto"/>
        <w:ind w:firstLineChars="0"/>
        <w:rPr>
          <w:rStyle w:val="138"/>
          <w:rFonts w:ascii="宋体" w:hAnsi="宋体"/>
          <w:b/>
          <w:color w:val="auto"/>
          <w:kern w:val="0"/>
          <w:sz w:val="24"/>
          <w:szCs w:val="24"/>
        </w:rPr>
      </w:pPr>
      <w:r>
        <w:rPr>
          <w:rStyle w:val="138"/>
          <w:rFonts w:ascii="宋体" w:hAnsi="宋体"/>
          <w:b/>
          <w:color w:val="auto"/>
          <w:kern w:val="0"/>
          <w:sz w:val="24"/>
          <w:szCs w:val="24"/>
        </w:rPr>
        <w:t>投标的语言及计量单位</w:t>
      </w:r>
    </w:p>
    <w:p w14:paraId="69D0AB5D">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12.1</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提交的投标文件以及</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与招标人就有关投标事宜的所有来往书面文件均应使用中文。除签名、盖章、专用名称等特殊情形外，以中文以外的文字表述的投标文件视同未提供。</w:t>
      </w:r>
    </w:p>
    <w:p w14:paraId="772A5A8D">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12.2投标计量单位，招标文件已有明确规定的，使用招标文件规定的计量单位；招标文件没有规定的，一律采用中华人民共和国法定计量单位。</w:t>
      </w:r>
    </w:p>
    <w:p w14:paraId="0E5D8B5F">
      <w:pPr>
        <w:pStyle w:val="144"/>
        <w:numPr>
          <w:ilvl w:val="0"/>
          <w:numId w:val="2"/>
        </w:numPr>
        <w:snapToGrid w:val="0"/>
        <w:spacing w:line="360" w:lineRule="auto"/>
        <w:ind w:firstLineChars="0"/>
        <w:rPr>
          <w:rStyle w:val="138"/>
          <w:rFonts w:ascii="宋体" w:hAnsi="宋体"/>
          <w:b/>
          <w:color w:val="auto"/>
          <w:kern w:val="0"/>
          <w:sz w:val="24"/>
          <w:szCs w:val="24"/>
        </w:rPr>
      </w:pPr>
      <w:r>
        <w:rPr>
          <w:rStyle w:val="138"/>
          <w:rFonts w:ascii="宋体" w:hAnsi="宋体"/>
          <w:b/>
          <w:color w:val="auto"/>
          <w:kern w:val="0"/>
          <w:sz w:val="24"/>
          <w:szCs w:val="24"/>
        </w:rPr>
        <w:t>投标报价</w:t>
      </w:r>
    </w:p>
    <w:p w14:paraId="43F6EFA8">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13.1本次招标项目的投标</w:t>
      </w:r>
      <w:r>
        <w:rPr>
          <w:rStyle w:val="138"/>
          <w:rFonts w:ascii="宋体" w:hAnsi="宋体"/>
          <w:b w:val="0"/>
          <w:bCs w:val="0"/>
          <w:color w:val="auto"/>
          <w:kern w:val="0"/>
          <w:sz w:val="24"/>
          <w:szCs w:val="24"/>
        </w:rPr>
        <w:t>均以人民币</w:t>
      </w:r>
      <w:r>
        <w:rPr>
          <w:rStyle w:val="138"/>
          <w:rFonts w:ascii="宋体" w:hAnsi="宋体"/>
          <w:color w:val="auto"/>
          <w:kern w:val="0"/>
          <w:sz w:val="24"/>
          <w:szCs w:val="24"/>
        </w:rPr>
        <w:t>为计算单位。</w:t>
      </w:r>
    </w:p>
    <w:p w14:paraId="40A32E99">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13.2采购人不得向</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索要或者接受其给予的赠品、回扣或者与采购无关的其他商品、服务。</w:t>
      </w:r>
    </w:p>
    <w:p w14:paraId="34AAF151">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13.3</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应对项目要求的全部内容进行报价，少报漏报将导致其投标为非实质性响应予以拒绝。</w:t>
      </w:r>
    </w:p>
    <w:p w14:paraId="5D949858">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13.4</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应当按照国家相关规定，结合自身服务水平和承受能力进行报价。投标报价应是履行合同的最终价格，除“项目需求”中另有说明外，投标报价应当是</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为提供本项目所要求的全部服务所发生的一切成本、税费和利润，包括人工（含工资、社会统筹保险金、加班工资、工作餐、相关福利、关于人员聘用的费用等）、设备、国家规定检测、外发包、材料（含辅材）、管理、税费及利润等。</w:t>
      </w:r>
    </w:p>
    <w:p w14:paraId="78751D99">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13.5本项目所涉及的运输、施工、安装、集成、调试、验收、备品和工具等费用均包含在投标报价中。</w:t>
      </w:r>
    </w:p>
    <w:p w14:paraId="34E31ACC">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13.6本次招标不接受可选择或可调整的投标方案和报价，任何有选择的或可调整的投标方案和报价将被视为非实质性响应投标而作无效投标处理。</w:t>
      </w:r>
    </w:p>
    <w:p w14:paraId="4ADCB0B1">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13.7报价不得高于本项目最高限价，且不低于成本价。本次招标实行“最高限价（项目控制金额上限）”，</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的投标报价高于最高限价（项目控制金额上限）的，该</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的投标文件将被视为非实质性响应予以拒绝。</w:t>
      </w:r>
    </w:p>
    <w:p w14:paraId="0B352593">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13.8最低报价不能作为中标的保证。</w:t>
      </w:r>
    </w:p>
    <w:p w14:paraId="3EC219D2">
      <w:pPr>
        <w:pStyle w:val="144"/>
        <w:numPr>
          <w:ilvl w:val="0"/>
          <w:numId w:val="2"/>
        </w:numPr>
        <w:snapToGrid w:val="0"/>
        <w:spacing w:line="360" w:lineRule="auto"/>
        <w:ind w:firstLineChars="0"/>
        <w:rPr>
          <w:rStyle w:val="138"/>
          <w:rFonts w:ascii="宋体" w:hAnsi="宋体"/>
          <w:b/>
          <w:color w:val="auto"/>
          <w:kern w:val="0"/>
          <w:sz w:val="24"/>
          <w:szCs w:val="24"/>
        </w:rPr>
      </w:pPr>
      <w:r>
        <w:rPr>
          <w:rStyle w:val="138"/>
          <w:rFonts w:ascii="宋体" w:hAnsi="宋体"/>
          <w:b/>
          <w:color w:val="auto"/>
          <w:kern w:val="0"/>
          <w:sz w:val="24"/>
          <w:szCs w:val="24"/>
        </w:rPr>
        <w:t>投标有效期</w:t>
      </w:r>
    </w:p>
    <w:p w14:paraId="6C87AC6E">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14.1投标有效期从提交投标文件的截止之日起算。本项目投标有效期详见</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须知前附表。投标文件中承诺的投标有效期应当不少于“</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须知前附表”载明的投标有效期。投标有效期比招标文件规定短的属于非实质性响应，将被认定为无效投标。</w:t>
      </w:r>
    </w:p>
    <w:p w14:paraId="0A7FE7D1">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14.2投标有效期内</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撤销投标文件的，</w:t>
      </w:r>
      <w:r>
        <w:rPr>
          <w:rStyle w:val="138"/>
          <w:rFonts w:hint="eastAsia" w:ascii="宋体" w:hAnsi="宋体"/>
          <w:color w:val="auto"/>
          <w:kern w:val="0"/>
          <w:sz w:val="24"/>
          <w:szCs w:val="24"/>
          <w:lang w:eastAsia="zh-CN"/>
        </w:rPr>
        <w:t>投标人</w:t>
      </w:r>
      <w:r>
        <w:rPr>
          <w:rStyle w:val="138"/>
          <w:rFonts w:hint="eastAsia" w:ascii="宋体" w:hAnsi="宋体"/>
          <w:color w:val="auto"/>
          <w:kern w:val="0"/>
          <w:sz w:val="24"/>
          <w:szCs w:val="24"/>
        </w:rPr>
        <w:t xml:space="preserve">将承担违背投标承诺函的责任追究。 </w:t>
      </w:r>
    </w:p>
    <w:p w14:paraId="7C5867F6">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14.3特殊情况下，在原投标有效期截止之前，招标人可要求</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延长投标有效期。这种要求与答复均应以书面形式提交。</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可拒绝招标人的这种要求，其投标在原投标有效期期满后将不再有效。同意延长投标有效期的</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将不会被要求和允许修正其投标。</w:t>
      </w:r>
      <w:r>
        <w:rPr>
          <w:rStyle w:val="138"/>
          <w:rFonts w:hint="eastAsia" w:ascii="宋体" w:hAnsi="宋体"/>
          <w:color w:val="auto"/>
          <w:kern w:val="0"/>
          <w:sz w:val="24"/>
          <w:szCs w:val="24"/>
        </w:rPr>
        <w:t>而只会被要求相应地延长其投标承诺函的有效期。在这种情况下， 有关供应商违背投标承诺的责任追究措施将在</w:t>
      </w:r>
      <w:r>
        <w:rPr>
          <w:rStyle w:val="138"/>
          <w:rFonts w:hint="eastAsia" w:ascii="宋体" w:hAnsi="宋体"/>
          <w:color w:val="auto"/>
          <w:kern w:val="0"/>
          <w:sz w:val="24"/>
          <w:szCs w:val="24"/>
          <w:lang w:eastAsia="zh-CN"/>
        </w:rPr>
        <w:t>延长</w:t>
      </w:r>
      <w:r>
        <w:rPr>
          <w:rStyle w:val="138"/>
          <w:rFonts w:hint="eastAsia" w:ascii="宋体" w:hAnsi="宋体"/>
          <w:color w:val="auto"/>
          <w:kern w:val="0"/>
          <w:sz w:val="24"/>
          <w:szCs w:val="24"/>
        </w:rPr>
        <w:t xml:space="preserve">的有效期内继续有效。同意延期的供应商在原投标有效期内应享之权利及应负之责任也相应延续。 </w:t>
      </w:r>
    </w:p>
    <w:p w14:paraId="7E7D40BD">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14.4中标人的投标文件作为项目合同的附件，其有效期至中标人全部合同义务履行完毕为止。</w:t>
      </w:r>
    </w:p>
    <w:p w14:paraId="6348B2D0">
      <w:pPr>
        <w:pStyle w:val="144"/>
        <w:numPr>
          <w:ilvl w:val="0"/>
          <w:numId w:val="2"/>
        </w:numPr>
        <w:snapToGrid w:val="0"/>
        <w:spacing w:line="360" w:lineRule="auto"/>
        <w:ind w:firstLineChars="0"/>
        <w:rPr>
          <w:rStyle w:val="138"/>
          <w:rFonts w:ascii="宋体" w:hAnsi="宋体"/>
          <w:b/>
          <w:color w:val="auto"/>
          <w:kern w:val="0"/>
          <w:sz w:val="24"/>
          <w:szCs w:val="24"/>
        </w:rPr>
      </w:pPr>
      <w:r>
        <w:rPr>
          <w:rStyle w:val="138"/>
          <w:rFonts w:ascii="宋体" w:hAnsi="宋体"/>
          <w:b/>
          <w:color w:val="auto"/>
          <w:kern w:val="0"/>
          <w:sz w:val="24"/>
          <w:szCs w:val="24"/>
        </w:rPr>
        <w:t>投标文件构成</w:t>
      </w:r>
    </w:p>
    <w:p w14:paraId="4E4C9890">
      <w:pPr>
        <w:snapToGrid w:val="0"/>
        <w:spacing w:line="360" w:lineRule="auto"/>
        <w:ind w:firstLine="480" w:firstLineChars="200"/>
        <w:rPr>
          <w:rStyle w:val="138"/>
          <w:rFonts w:ascii="宋体" w:hAnsi="宋体"/>
          <w:b/>
          <w:color w:val="auto"/>
          <w:kern w:val="0"/>
          <w:sz w:val="24"/>
          <w:szCs w:val="24"/>
        </w:rPr>
      </w:pPr>
      <w:r>
        <w:rPr>
          <w:rStyle w:val="138"/>
          <w:rFonts w:ascii="宋体" w:hAnsi="宋体"/>
          <w:color w:val="auto"/>
          <w:kern w:val="0"/>
          <w:sz w:val="24"/>
          <w:szCs w:val="24"/>
        </w:rPr>
        <w:t>15.1投标文件的构成应符合法律法规及招标文件的要求。</w:t>
      </w:r>
    </w:p>
    <w:p w14:paraId="2E163199">
      <w:pPr>
        <w:snapToGrid w:val="0"/>
        <w:spacing w:line="360" w:lineRule="auto"/>
        <w:ind w:firstLine="480" w:firstLineChars="200"/>
        <w:rPr>
          <w:rStyle w:val="138"/>
          <w:rFonts w:ascii="宋体" w:hAnsi="宋体"/>
          <w:b/>
          <w:color w:val="auto"/>
          <w:kern w:val="0"/>
          <w:sz w:val="24"/>
          <w:szCs w:val="24"/>
        </w:rPr>
      </w:pPr>
      <w:r>
        <w:rPr>
          <w:rStyle w:val="138"/>
          <w:rFonts w:ascii="宋体" w:hAnsi="宋体"/>
          <w:color w:val="auto"/>
          <w:kern w:val="0"/>
          <w:sz w:val="24"/>
          <w:szCs w:val="24"/>
        </w:rPr>
        <w:t>15.2</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应当按照招标文件的要求编制投标文件。投标文件应当对招标文件提出的要求和条件作出明确响应。</w:t>
      </w:r>
    </w:p>
    <w:p w14:paraId="79B9E9EF">
      <w:pPr>
        <w:snapToGrid w:val="0"/>
        <w:spacing w:line="360" w:lineRule="auto"/>
        <w:ind w:firstLine="480" w:firstLineChars="200"/>
        <w:rPr>
          <w:rStyle w:val="138"/>
          <w:rFonts w:ascii="宋体" w:hAnsi="宋体"/>
          <w:b/>
          <w:color w:val="auto"/>
          <w:kern w:val="0"/>
          <w:sz w:val="24"/>
          <w:szCs w:val="24"/>
        </w:rPr>
      </w:pPr>
      <w:r>
        <w:rPr>
          <w:rStyle w:val="138"/>
          <w:rFonts w:ascii="宋体" w:hAnsi="宋体"/>
          <w:color w:val="auto"/>
          <w:kern w:val="0"/>
          <w:sz w:val="24"/>
          <w:szCs w:val="24"/>
        </w:rPr>
        <w:t>15.3投标文件由资格证明材料、符合性证明材料、其</w:t>
      </w:r>
      <w:r>
        <w:rPr>
          <w:rStyle w:val="138"/>
          <w:rFonts w:hint="eastAsia" w:ascii="宋体" w:hAnsi="宋体"/>
          <w:color w:val="auto"/>
          <w:kern w:val="0"/>
          <w:sz w:val="24"/>
          <w:szCs w:val="24"/>
          <w:lang w:val="en-US" w:eastAsia="zh-CN"/>
        </w:rPr>
        <w:t>他</w:t>
      </w:r>
      <w:r>
        <w:rPr>
          <w:rStyle w:val="138"/>
          <w:rFonts w:ascii="宋体" w:hAnsi="宋体"/>
          <w:color w:val="auto"/>
          <w:kern w:val="0"/>
          <w:sz w:val="24"/>
          <w:szCs w:val="24"/>
        </w:rPr>
        <w:t>材料等组成。</w:t>
      </w:r>
    </w:p>
    <w:p w14:paraId="2DB33D11">
      <w:pPr>
        <w:snapToGrid w:val="0"/>
        <w:spacing w:line="360" w:lineRule="auto"/>
        <w:ind w:firstLine="480" w:firstLineChars="200"/>
        <w:rPr>
          <w:rStyle w:val="138"/>
          <w:rFonts w:ascii="宋体" w:hAnsi="宋体"/>
          <w:b/>
          <w:color w:val="auto"/>
          <w:kern w:val="0"/>
          <w:sz w:val="24"/>
          <w:szCs w:val="24"/>
        </w:rPr>
      </w:pPr>
      <w:r>
        <w:rPr>
          <w:rStyle w:val="138"/>
          <w:rFonts w:ascii="宋体" w:hAnsi="宋体"/>
          <w:color w:val="auto"/>
          <w:kern w:val="0"/>
          <w:sz w:val="24"/>
          <w:szCs w:val="24"/>
        </w:rPr>
        <w:t>15.4</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根据招标文件的规定和采购项目的实际情况，拟在中标后将中标项目的非主体、非关键性工作分包的，应当在投标文件中载明分包承担主体，分包承担主体应当具备相应资质条件且不得再次分包。</w:t>
      </w:r>
    </w:p>
    <w:p w14:paraId="1ACF9FB4">
      <w:pPr>
        <w:snapToGrid w:val="0"/>
        <w:spacing w:line="360" w:lineRule="auto"/>
        <w:ind w:firstLine="480" w:firstLineChars="200"/>
        <w:rPr>
          <w:rStyle w:val="138"/>
          <w:rFonts w:hint="eastAsia" w:ascii="宋体" w:hAnsi="宋体"/>
          <w:color w:val="auto"/>
          <w:kern w:val="0"/>
          <w:sz w:val="24"/>
          <w:szCs w:val="24"/>
          <w:lang w:eastAsia="zh-CN"/>
        </w:rPr>
      </w:pPr>
      <w:r>
        <w:rPr>
          <w:rStyle w:val="138"/>
          <w:rFonts w:ascii="宋体" w:hAnsi="宋体"/>
          <w:color w:val="auto"/>
          <w:kern w:val="0"/>
          <w:sz w:val="24"/>
          <w:szCs w:val="24"/>
        </w:rPr>
        <w:t>15.5</w:t>
      </w:r>
      <w:r>
        <w:rPr>
          <w:rStyle w:val="138"/>
          <w:rFonts w:hint="eastAsia" w:ascii="宋体" w:hAnsi="宋体"/>
          <w:color w:val="auto"/>
          <w:kern w:val="0"/>
          <w:sz w:val="24"/>
          <w:szCs w:val="24"/>
          <w:lang w:eastAsia="zh-CN"/>
        </w:rPr>
        <w:t>投标人登录《全国公共资源交易平台（河南省·许昌市）》（http://117.159.53.11:60632/）下载“新点投标文件制作软件（河南省版）”（在“投标人”登录页面右下方“投标文件制作工具下载”）制作电子响应文件，按所响应标段</w:t>
      </w:r>
      <w:r>
        <w:rPr>
          <w:rStyle w:val="138"/>
          <w:rFonts w:hint="eastAsia" w:ascii="宋体" w:hAnsi="宋体"/>
          <w:color w:val="auto"/>
          <w:kern w:val="0"/>
          <w:sz w:val="24"/>
          <w:szCs w:val="24"/>
          <w:lang w:val="en-US" w:eastAsia="zh-CN"/>
        </w:rPr>
        <w:t>招标</w:t>
      </w:r>
      <w:r>
        <w:rPr>
          <w:rStyle w:val="138"/>
          <w:rFonts w:hint="eastAsia" w:ascii="宋体" w:hAnsi="宋体"/>
          <w:color w:val="auto"/>
          <w:kern w:val="0"/>
          <w:sz w:val="24"/>
          <w:szCs w:val="24"/>
          <w:lang w:eastAsia="zh-CN"/>
        </w:rPr>
        <w:t>文件的要求制作电子响应文件。一个标段对应生成2份电子响应文件（后缀格式为.XCSTF和.nXCSTF）,其中后缀格式为“.XCSTF”的加密电子响应文件用于上传至交易系统中投标，后缀格式为“.nXCSTF”的不加密电子响应文件用于查看响应文件内容或导出PDF格式响应文件。</w:t>
      </w:r>
    </w:p>
    <w:p w14:paraId="7CFF5A8A">
      <w:pPr>
        <w:snapToGrid w:val="0"/>
        <w:spacing w:line="360" w:lineRule="auto"/>
        <w:ind w:firstLine="480" w:firstLineChars="200"/>
        <w:rPr>
          <w:rStyle w:val="138"/>
          <w:rFonts w:ascii="宋体" w:hAnsi="宋体"/>
          <w:b/>
          <w:color w:val="auto"/>
          <w:kern w:val="0"/>
          <w:sz w:val="24"/>
          <w:szCs w:val="24"/>
        </w:rPr>
      </w:pPr>
      <w:r>
        <w:rPr>
          <w:rStyle w:val="138"/>
          <w:rFonts w:hint="eastAsia" w:ascii="宋体" w:hAnsi="宋体"/>
          <w:color w:val="auto"/>
          <w:kern w:val="0"/>
          <w:sz w:val="24"/>
          <w:szCs w:val="24"/>
          <w:lang w:val="en-US" w:eastAsia="zh-CN"/>
        </w:rPr>
        <w:t>15.6</w:t>
      </w:r>
      <w:r>
        <w:rPr>
          <w:rStyle w:val="138"/>
          <w:rFonts w:ascii="宋体" w:hAnsi="宋体"/>
          <w:b/>
          <w:color w:val="auto"/>
          <w:kern w:val="0"/>
          <w:sz w:val="24"/>
          <w:szCs w:val="24"/>
        </w:rPr>
        <w:t>电子投标文件制作技术咨询：</w:t>
      </w:r>
      <w:r>
        <w:rPr>
          <w:rStyle w:val="138"/>
          <w:rFonts w:hint="eastAsia" w:ascii="宋体" w:hAnsi="宋体"/>
          <w:b/>
          <w:color w:val="auto"/>
          <w:kern w:val="0"/>
          <w:sz w:val="24"/>
          <w:szCs w:val="24"/>
        </w:rPr>
        <w:t>0374-</w:t>
      </w:r>
      <w:r>
        <w:rPr>
          <w:rStyle w:val="138"/>
          <w:rFonts w:hint="eastAsia" w:ascii="宋体" w:hAnsi="宋体"/>
          <w:b/>
          <w:color w:val="auto"/>
          <w:kern w:val="0"/>
          <w:sz w:val="24"/>
          <w:szCs w:val="24"/>
          <w:lang w:val="en-US" w:eastAsia="zh-CN"/>
        </w:rPr>
        <w:t>2961598</w:t>
      </w:r>
      <w:r>
        <w:rPr>
          <w:rStyle w:val="138"/>
          <w:rFonts w:ascii="宋体" w:hAnsi="宋体"/>
          <w:b/>
          <w:color w:val="auto"/>
          <w:kern w:val="0"/>
          <w:sz w:val="24"/>
          <w:szCs w:val="24"/>
        </w:rPr>
        <w:t>。</w:t>
      </w:r>
    </w:p>
    <w:p w14:paraId="7787D9B2">
      <w:pPr>
        <w:pStyle w:val="144"/>
        <w:numPr>
          <w:ilvl w:val="0"/>
          <w:numId w:val="2"/>
        </w:numPr>
        <w:snapToGrid w:val="0"/>
        <w:spacing w:line="360" w:lineRule="auto"/>
        <w:ind w:firstLineChars="0"/>
        <w:rPr>
          <w:rStyle w:val="138"/>
          <w:rFonts w:ascii="宋体" w:hAnsi="宋体"/>
          <w:b/>
          <w:color w:val="auto"/>
          <w:kern w:val="0"/>
          <w:sz w:val="24"/>
          <w:szCs w:val="24"/>
        </w:rPr>
      </w:pPr>
      <w:r>
        <w:rPr>
          <w:rStyle w:val="138"/>
          <w:rFonts w:ascii="宋体" w:hAnsi="宋体"/>
          <w:b/>
          <w:color w:val="auto"/>
          <w:kern w:val="0"/>
          <w:sz w:val="24"/>
          <w:szCs w:val="24"/>
        </w:rPr>
        <w:t>投标文件格式</w:t>
      </w:r>
    </w:p>
    <w:p w14:paraId="2BDA3A1B">
      <w:pPr>
        <w:snapToGrid w:val="0"/>
        <w:spacing w:line="360" w:lineRule="auto"/>
        <w:ind w:firstLine="480" w:firstLineChars="200"/>
        <w:rPr>
          <w:rStyle w:val="138"/>
          <w:rFonts w:hint="eastAsia" w:ascii="宋体" w:hAnsi="宋体" w:eastAsia="宋体" w:cs="Times New Roman"/>
          <w:color w:val="auto"/>
          <w:kern w:val="0"/>
          <w:sz w:val="24"/>
          <w:szCs w:val="24"/>
        </w:rPr>
      </w:pPr>
      <w:r>
        <w:rPr>
          <w:rStyle w:val="138"/>
          <w:rFonts w:hint="eastAsia" w:ascii="宋体" w:hAnsi="宋体" w:eastAsia="宋体" w:cs="Times New Roman"/>
          <w:color w:val="auto"/>
          <w:kern w:val="0"/>
          <w:sz w:val="24"/>
          <w:szCs w:val="24"/>
        </w:rPr>
        <w:t>16.1为便于评审及规范统一，建议响应文件参照</w:t>
      </w:r>
      <w:r>
        <w:rPr>
          <w:rStyle w:val="138"/>
          <w:rFonts w:hint="eastAsia" w:ascii="宋体" w:hAnsi="宋体" w:cs="Times New Roman"/>
          <w:color w:val="auto"/>
          <w:kern w:val="0"/>
          <w:sz w:val="24"/>
          <w:szCs w:val="24"/>
          <w:lang w:val="en-US" w:eastAsia="zh-CN"/>
        </w:rPr>
        <w:t>招标</w:t>
      </w:r>
      <w:r>
        <w:rPr>
          <w:rStyle w:val="138"/>
          <w:rFonts w:hint="eastAsia" w:ascii="宋体" w:hAnsi="宋体" w:eastAsia="宋体" w:cs="Times New Roman"/>
          <w:color w:val="auto"/>
          <w:kern w:val="0"/>
          <w:sz w:val="24"/>
          <w:szCs w:val="24"/>
        </w:rPr>
        <w:t>文件第八部分（响应文件有关格式）的内容要求、编排顺序和格式要求，以A4幅面编上连贯页码，并在响应文件封面上注明：所投项目名称、项目编号、供应商名称、日期等字样。</w:t>
      </w:r>
    </w:p>
    <w:p w14:paraId="6D44B4F5">
      <w:pPr>
        <w:snapToGrid w:val="0"/>
        <w:spacing w:line="360" w:lineRule="auto"/>
        <w:ind w:firstLine="480" w:firstLineChars="200"/>
        <w:rPr>
          <w:rStyle w:val="138"/>
          <w:rFonts w:hint="eastAsia" w:ascii="宋体" w:hAnsi="宋体" w:eastAsia="宋体" w:cs="Times New Roman"/>
          <w:color w:val="auto"/>
          <w:kern w:val="0"/>
          <w:sz w:val="24"/>
          <w:szCs w:val="24"/>
        </w:rPr>
      </w:pPr>
      <w:r>
        <w:rPr>
          <w:rStyle w:val="138"/>
          <w:rFonts w:hint="eastAsia" w:ascii="宋体" w:hAnsi="宋体" w:eastAsia="宋体" w:cs="Times New Roman"/>
          <w:color w:val="auto"/>
          <w:kern w:val="0"/>
          <w:sz w:val="24"/>
          <w:szCs w:val="24"/>
          <w:lang w:val="en-US" w:eastAsia="zh-CN"/>
        </w:rPr>
        <w:t>16.2</w:t>
      </w:r>
      <w:r>
        <w:rPr>
          <w:rStyle w:val="138"/>
          <w:rFonts w:hint="eastAsia" w:ascii="宋体" w:hAnsi="宋体" w:cs="Times New Roman"/>
          <w:color w:val="auto"/>
          <w:kern w:val="0"/>
          <w:sz w:val="24"/>
          <w:szCs w:val="24"/>
          <w:lang w:val="en-US" w:eastAsia="zh-CN"/>
        </w:rPr>
        <w:t>招标</w:t>
      </w:r>
      <w:r>
        <w:rPr>
          <w:rStyle w:val="138"/>
          <w:rFonts w:hint="eastAsia" w:ascii="宋体" w:hAnsi="宋体" w:eastAsia="宋体" w:cs="Times New Roman"/>
          <w:color w:val="auto"/>
          <w:kern w:val="0"/>
          <w:sz w:val="24"/>
          <w:szCs w:val="24"/>
        </w:rPr>
        <w:t>文件未提供标准格式的供应商可自行拟定。</w:t>
      </w:r>
    </w:p>
    <w:p w14:paraId="38CA7FCB">
      <w:pPr>
        <w:pStyle w:val="144"/>
        <w:numPr>
          <w:ilvl w:val="0"/>
          <w:numId w:val="2"/>
        </w:numPr>
        <w:snapToGrid w:val="0"/>
        <w:spacing w:line="360" w:lineRule="auto"/>
        <w:ind w:firstLineChars="0"/>
        <w:rPr>
          <w:rStyle w:val="138"/>
          <w:rFonts w:ascii="宋体" w:hAnsi="宋体"/>
          <w:b/>
          <w:color w:val="auto"/>
          <w:kern w:val="0"/>
          <w:sz w:val="24"/>
          <w:szCs w:val="24"/>
        </w:rPr>
      </w:pPr>
      <w:r>
        <w:rPr>
          <w:rStyle w:val="138"/>
          <w:rFonts w:ascii="宋体" w:hAnsi="宋体"/>
          <w:b/>
          <w:color w:val="auto"/>
          <w:kern w:val="0"/>
          <w:sz w:val="24"/>
          <w:szCs w:val="24"/>
        </w:rPr>
        <w:t>投标保证金</w:t>
      </w:r>
    </w:p>
    <w:p w14:paraId="1C869756">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17.1按照河南省《关于优化政府采购营商环境有关问题的通知》（豫财购（2019）4号文）的要求，本项目不予收取投标保证金。</w:t>
      </w:r>
    </w:p>
    <w:p w14:paraId="188FA148">
      <w:pPr>
        <w:snapToGrid w:val="0"/>
        <w:spacing w:line="360" w:lineRule="auto"/>
        <w:ind w:firstLine="480" w:firstLineChars="200"/>
        <w:rPr>
          <w:rStyle w:val="138"/>
          <w:rFonts w:ascii="宋体" w:hAnsi="宋体"/>
          <w:color w:val="auto"/>
          <w:kern w:val="0"/>
          <w:sz w:val="24"/>
          <w:szCs w:val="24"/>
        </w:rPr>
      </w:pPr>
      <w:r>
        <w:rPr>
          <w:rStyle w:val="138"/>
          <w:rFonts w:ascii="宋体" w:hAnsi="宋体"/>
          <w:color w:val="auto"/>
          <w:kern w:val="0"/>
          <w:sz w:val="24"/>
          <w:szCs w:val="24"/>
        </w:rPr>
        <w:t>17.2</w:t>
      </w:r>
      <w:r>
        <w:rPr>
          <w:rStyle w:val="138"/>
          <w:rFonts w:hint="eastAsia" w:ascii="宋体" w:hAnsi="宋体"/>
          <w:color w:val="auto"/>
          <w:kern w:val="0"/>
          <w:sz w:val="24"/>
          <w:szCs w:val="24"/>
          <w:lang w:eastAsia="zh-CN"/>
        </w:rPr>
        <w:t>投标人</w:t>
      </w:r>
      <w:r>
        <w:rPr>
          <w:rStyle w:val="138"/>
          <w:rFonts w:ascii="宋体" w:hAnsi="宋体"/>
          <w:color w:val="auto"/>
          <w:kern w:val="0"/>
          <w:sz w:val="24"/>
          <w:szCs w:val="24"/>
        </w:rPr>
        <w:t>应按照招标文件要求，在投标文件中提供投标承诺函，明确所应当履行的责任和义务，诚信履约，并自觉接受行政监管部门的监督管理。</w:t>
      </w:r>
    </w:p>
    <w:p w14:paraId="7CBCC18D">
      <w:pPr>
        <w:pStyle w:val="144"/>
        <w:numPr>
          <w:ilvl w:val="0"/>
          <w:numId w:val="2"/>
        </w:numPr>
        <w:snapToGrid w:val="0"/>
        <w:spacing w:line="360" w:lineRule="auto"/>
        <w:ind w:firstLineChars="0"/>
        <w:rPr>
          <w:rStyle w:val="138"/>
          <w:rFonts w:ascii="宋体" w:hAnsi="宋体"/>
          <w:b/>
          <w:color w:val="auto"/>
          <w:kern w:val="0"/>
          <w:sz w:val="24"/>
          <w:szCs w:val="24"/>
        </w:rPr>
      </w:pPr>
      <w:r>
        <w:rPr>
          <w:rStyle w:val="138"/>
          <w:rFonts w:ascii="宋体" w:hAnsi="宋体"/>
          <w:b/>
          <w:color w:val="auto"/>
          <w:kern w:val="0"/>
          <w:sz w:val="24"/>
          <w:szCs w:val="24"/>
        </w:rPr>
        <w:t>投标文件的数量和签署盖章</w:t>
      </w:r>
    </w:p>
    <w:p w14:paraId="6A38569C">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18.1</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应提交投标文件份数见“</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须知前附表”。</w:t>
      </w:r>
    </w:p>
    <w:p w14:paraId="4083599C">
      <w:pPr>
        <w:autoSpaceDE w:val="0"/>
        <w:autoSpaceDN w:val="0"/>
        <w:adjustRightInd w:val="0"/>
        <w:snapToGri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18.2在</w:t>
      </w:r>
      <w:r>
        <w:rPr>
          <w:rFonts w:hint="eastAsia" w:ascii="宋体" w:hAnsi="宋体" w:cs="宋体"/>
          <w:color w:val="auto"/>
          <w:kern w:val="0"/>
          <w:sz w:val="24"/>
          <w:szCs w:val="24"/>
          <w:lang w:eastAsia="zh-CN"/>
        </w:rPr>
        <w:t>招标</w:t>
      </w:r>
      <w:r>
        <w:rPr>
          <w:rFonts w:hint="eastAsia" w:ascii="宋体" w:hAnsi="宋体" w:cs="宋体"/>
          <w:color w:val="auto"/>
          <w:kern w:val="0"/>
          <w:sz w:val="24"/>
          <w:szCs w:val="24"/>
        </w:rPr>
        <w:t>文件中已明示需盖章及签名之处，电子响应文件应按</w:t>
      </w:r>
      <w:r>
        <w:rPr>
          <w:rFonts w:hint="eastAsia" w:ascii="宋体" w:hAnsi="宋体" w:cs="宋体"/>
          <w:color w:val="auto"/>
          <w:kern w:val="0"/>
          <w:sz w:val="24"/>
          <w:szCs w:val="24"/>
          <w:lang w:eastAsia="zh-CN"/>
        </w:rPr>
        <w:t>招标</w:t>
      </w:r>
      <w:r>
        <w:rPr>
          <w:rFonts w:hint="eastAsia" w:ascii="宋体" w:hAnsi="宋体" w:cs="宋体"/>
          <w:color w:val="auto"/>
          <w:kern w:val="0"/>
          <w:sz w:val="24"/>
          <w:szCs w:val="24"/>
        </w:rPr>
        <w:t>文件要求加盖供应商电子印章和法人电子印章或授权代表电子印章。</w:t>
      </w:r>
    </w:p>
    <w:p w14:paraId="1D8656BD">
      <w:pPr>
        <w:tabs>
          <w:tab w:val="left" w:pos="1260"/>
        </w:tabs>
        <w:snapToGrid w:val="0"/>
        <w:spacing w:line="360" w:lineRule="auto"/>
        <w:jc w:val="center"/>
        <w:rPr>
          <w:rStyle w:val="138"/>
          <w:rFonts w:ascii="宋体" w:hAnsi="宋体"/>
          <w:b/>
          <w:color w:val="auto"/>
          <w:kern w:val="0"/>
          <w:sz w:val="24"/>
          <w:szCs w:val="24"/>
        </w:rPr>
      </w:pPr>
      <w:r>
        <w:rPr>
          <w:rStyle w:val="138"/>
          <w:rFonts w:ascii="宋体" w:hAnsi="宋体"/>
          <w:b/>
          <w:color w:val="auto"/>
          <w:kern w:val="0"/>
          <w:sz w:val="24"/>
          <w:szCs w:val="24"/>
        </w:rPr>
        <w:t>四、投标文件的递交</w:t>
      </w:r>
    </w:p>
    <w:p w14:paraId="0E4E4D2F">
      <w:pPr>
        <w:autoSpaceDE w:val="0"/>
        <w:autoSpaceDN w:val="0"/>
        <w:adjustRightInd w:val="0"/>
        <w:snapToGrid w:val="0"/>
        <w:spacing w:line="360" w:lineRule="auto"/>
        <w:jc w:val="left"/>
        <w:rPr>
          <w:rFonts w:hint="eastAsia" w:ascii="宋体" w:hAnsi="宋体" w:eastAsia="宋体" w:cs="宋体"/>
          <w:color w:val="auto"/>
          <w:kern w:val="0"/>
          <w:sz w:val="24"/>
          <w:szCs w:val="24"/>
        </w:rPr>
      </w:pPr>
      <w:r>
        <w:rPr>
          <w:rFonts w:hint="eastAsia" w:ascii="宋体" w:hAnsi="宋体" w:cs="宋体"/>
          <w:b/>
          <w:color w:val="auto"/>
          <w:kern w:val="0"/>
          <w:sz w:val="24"/>
          <w:szCs w:val="24"/>
        </w:rPr>
        <w:t>19.本项目为全流程电子化交易项目，</w:t>
      </w:r>
      <w:r>
        <w:rPr>
          <w:rFonts w:hint="eastAsia" w:ascii="宋体" w:hAnsi="宋体" w:cs="宋体"/>
          <w:color w:val="auto"/>
          <w:kern w:val="0"/>
          <w:sz w:val="24"/>
          <w:szCs w:val="24"/>
        </w:rPr>
        <w:t>投标人应按规定在投标截止时间（同开标时间）前通过《全国公共资源交易平台（</w:t>
      </w:r>
      <w:r>
        <w:rPr>
          <w:rFonts w:hint="eastAsia"/>
          <w:color w:val="auto"/>
          <w:sz w:val="24"/>
          <w:szCs w:val="24"/>
        </w:rPr>
        <w:t>河南省·许昌市）</w:t>
      </w:r>
      <w:r>
        <w:rPr>
          <w:rFonts w:hint="eastAsia" w:ascii="宋体" w:hAnsi="宋体" w:cs="宋体"/>
          <w:color w:val="auto"/>
          <w:kern w:val="0"/>
          <w:sz w:val="24"/>
          <w:szCs w:val="24"/>
        </w:rPr>
        <w:t>》公共资源交易系统成功上传本项目加密电子投标文件。</w:t>
      </w:r>
    </w:p>
    <w:p w14:paraId="415BB844">
      <w:pPr>
        <w:kinsoku/>
        <w:wordWrap/>
        <w:overflowPunct/>
        <w:topLinePunct w:val="0"/>
        <w:autoSpaceDE w:val="0"/>
        <w:autoSpaceDN w:val="0"/>
        <w:bidi w:val="0"/>
        <w:adjustRightInd w:val="0"/>
        <w:snapToGrid w:val="0"/>
        <w:spacing w:beforeAutospacing="0" w:afterAutospacing="0" w:line="360" w:lineRule="auto"/>
        <w:jc w:val="left"/>
        <w:rPr>
          <w:rFonts w:ascii="宋体" w:hAnsi="宋体" w:cs="宋体"/>
          <w:color w:val="auto"/>
          <w:kern w:val="0"/>
          <w:sz w:val="24"/>
          <w:szCs w:val="24"/>
        </w:rPr>
      </w:pPr>
      <w:r>
        <w:rPr>
          <w:rFonts w:hint="eastAsia" w:ascii="宋体" w:hAnsi="宋体" w:cs="宋体"/>
          <w:b/>
          <w:color w:val="auto"/>
          <w:kern w:val="0"/>
          <w:sz w:val="24"/>
          <w:szCs w:val="24"/>
        </w:rPr>
        <w:t>20.本项目采用“远程不见面”开标方式，</w:t>
      </w:r>
      <w:r>
        <w:rPr>
          <w:rFonts w:hint="eastAsia" w:ascii="宋体" w:hAnsi="宋体" w:cs="宋体"/>
          <w:color w:val="auto"/>
          <w:kern w:val="0"/>
          <w:sz w:val="24"/>
          <w:szCs w:val="24"/>
        </w:rPr>
        <w:t>投标人无须到开标现场参加开标会议、无须现场提交有关原件资料；投标人在</w:t>
      </w:r>
      <w:r>
        <w:rPr>
          <w:rFonts w:hint="eastAsia" w:ascii="宋体" w:hAnsi="宋体" w:cs="宋体"/>
          <w:color w:val="auto"/>
          <w:sz w:val="24"/>
          <w:szCs w:val="24"/>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r>
        <w:rPr>
          <w:rFonts w:hint="eastAsia" w:ascii="宋体" w:hAnsi="宋体" w:cs="宋体"/>
          <w:color w:val="auto"/>
          <w:kern w:val="0"/>
          <w:sz w:val="24"/>
          <w:szCs w:val="24"/>
        </w:rPr>
        <w:t>。</w:t>
      </w:r>
    </w:p>
    <w:p w14:paraId="0EAC339F">
      <w:pPr>
        <w:pStyle w:val="137"/>
        <w:kinsoku/>
        <w:wordWrap/>
        <w:overflowPunct/>
        <w:topLinePunct w:val="0"/>
        <w:autoSpaceDE w:val="0"/>
        <w:autoSpaceDN w:val="0"/>
        <w:bidi w:val="0"/>
        <w:adjustRightInd w:val="0"/>
        <w:snapToGrid w:val="0"/>
        <w:spacing w:beforeAutospacing="0" w:afterAutospacing="0"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21.投标截止时间</w:t>
      </w:r>
    </w:p>
    <w:p w14:paraId="433F4484">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14:paraId="576B31EE">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w:t>
      </w:r>
      <w:r>
        <w:rPr>
          <w:rFonts w:hint="eastAsia" w:ascii="宋体" w:hAnsi="宋体" w:cs="宋体"/>
          <w:b/>
          <w:color w:val="auto"/>
          <w:kern w:val="0"/>
          <w:sz w:val="24"/>
          <w:szCs w:val="24"/>
          <w:lang w:val="en-US" w:eastAsia="zh-CN"/>
        </w:rPr>
        <w:t>2</w:t>
      </w:r>
      <w:r>
        <w:rPr>
          <w:rFonts w:hint="eastAsia" w:ascii="宋体" w:hAnsi="宋体" w:cs="宋体"/>
          <w:b/>
          <w:color w:val="auto"/>
          <w:kern w:val="0"/>
          <w:sz w:val="24"/>
          <w:szCs w:val="24"/>
        </w:rPr>
        <w:t>.迟交的投标文件</w:t>
      </w:r>
    </w:p>
    <w:p w14:paraId="26E25F66">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投标截止时间之后上传的投标文件，</w:t>
      </w:r>
      <w:r>
        <w:rPr>
          <w:rFonts w:hint="eastAsia" w:ascii="宋体" w:hAnsi="宋体" w:cs="宋体"/>
          <w:color w:val="auto"/>
          <w:kern w:val="0"/>
          <w:sz w:val="24"/>
          <w:szCs w:val="24"/>
          <w:lang w:eastAsia="zh-CN"/>
        </w:rPr>
        <w:t>招标</w:t>
      </w:r>
      <w:r>
        <w:rPr>
          <w:rFonts w:hint="eastAsia" w:ascii="宋体" w:hAnsi="宋体" w:cs="宋体"/>
          <w:color w:val="auto"/>
          <w:kern w:val="0"/>
          <w:sz w:val="24"/>
          <w:szCs w:val="24"/>
        </w:rPr>
        <w:t>人将拒绝接收。</w:t>
      </w:r>
    </w:p>
    <w:p w14:paraId="63AD584F">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w:t>
      </w:r>
      <w:r>
        <w:rPr>
          <w:rFonts w:hint="eastAsia" w:ascii="宋体" w:hAnsi="宋体" w:cs="宋体"/>
          <w:b/>
          <w:color w:val="auto"/>
          <w:kern w:val="0"/>
          <w:sz w:val="24"/>
          <w:szCs w:val="24"/>
          <w:lang w:val="en-US" w:eastAsia="zh-CN"/>
        </w:rPr>
        <w:t>3</w:t>
      </w:r>
      <w:r>
        <w:rPr>
          <w:rFonts w:hint="eastAsia" w:ascii="宋体" w:hAnsi="宋体" w:cs="宋体"/>
          <w:b/>
          <w:color w:val="auto"/>
          <w:kern w:val="0"/>
          <w:sz w:val="24"/>
          <w:szCs w:val="24"/>
        </w:rPr>
        <w:t>.投标文件的修改和撤回</w:t>
      </w:r>
    </w:p>
    <w:p w14:paraId="39EE5192">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23.1投标人在投标截止时间前，可以对所递交的投标文件进行补充、修改或者撤回。</w:t>
      </w:r>
    </w:p>
    <w:p w14:paraId="586E07BC">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23.2投标人应当在投标截止时间前完成电子投标文件的提交，投标截止时间前未完成电子投标文件提交、取得“投标文件提交回执单”的，视为撤回投标文件。</w:t>
      </w:r>
    </w:p>
    <w:p w14:paraId="0AC05663">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23.3投标人补充、修改的内容并作为投标文件的组成部分。补充或修改应当按招标文件要求签署、盖章、递交，并应注明“修改”或“补充”字样。</w:t>
      </w:r>
    </w:p>
    <w:p w14:paraId="7B554C7D">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23.4投标人在递交投标文件后，可以撤回其投标，但投标人必须在规定的投标截止时间前进行。</w:t>
      </w:r>
    </w:p>
    <w:p w14:paraId="36D3437F">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23.5投标人不得在投标有效期内撤销投标文件，否则将依法自行承担不利后果。</w:t>
      </w:r>
    </w:p>
    <w:p w14:paraId="1A9C460E">
      <w:pPr>
        <w:pStyle w:val="137"/>
        <w:kinsoku/>
        <w:wordWrap/>
        <w:overflowPunct/>
        <w:topLinePunct w:val="0"/>
        <w:autoSpaceDE w:val="0"/>
        <w:autoSpaceDN w:val="0"/>
        <w:bidi w:val="0"/>
        <w:adjustRightInd w:val="0"/>
        <w:snapToGrid w:val="0"/>
        <w:spacing w:beforeAutospacing="0" w:afterAutospacing="0"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24.投标文件的拒收</w:t>
      </w:r>
    </w:p>
    <w:p w14:paraId="04F22106">
      <w:pPr>
        <w:pStyle w:val="137"/>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480" w:firstLineChars="200"/>
        <w:jc w:val="left"/>
        <w:textAlignment w:val="auto"/>
        <w:rPr>
          <w:rFonts w:ascii="宋体" w:hAnsi="宋体" w:cs="宋体"/>
          <w:b/>
          <w:color w:val="auto"/>
          <w:kern w:val="0"/>
          <w:sz w:val="24"/>
          <w:szCs w:val="24"/>
        </w:rPr>
      </w:pPr>
      <w:r>
        <w:rPr>
          <w:rFonts w:hint="eastAsia" w:ascii="宋体" w:hAnsi="宋体" w:cs="宋体"/>
          <w:color w:val="auto"/>
          <w:kern w:val="0"/>
          <w:sz w:val="24"/>
          <w:szCs w:val="24"/>
        </w:rPr>
        <w:t>24.1未成功上传的投标文件。</w:t>
      </w:r>
    </w:p>
    <w:p w14:paraId="2AA31ECE">
      <w:pPr>
        <w:pStyle w:val="137"/>
        <w:kinsoku/>
        <w:wordWrap/>
        <w:overflowPunct/>
        <w:topLinePunct w:val="0"/>
        <w:autoSpaceDE w:val="0"/>
        <w:autoSpaceDN w:val="0"/>
        <w:bidi w:val="0"/>
        <w:adjustRightInd w:val="0"/>
        <w:snapToGrid w:val="0"/>
        <w:spacing w:beforeAutospacing="0" w:afterAutospacing="0" w:line="360" w:lineRule="auto"/>
        <w:ind w:firstLine="480"/>
        <w:jc w:val="left"/>
        <w:rPr>
          <w:rFonts w:ascii="宋体" w:hAnsi="宋体" w:cs="宋体"/>
          <w:b/>
          <w:color w:val="auto"/>
          <w:kern w:val="0"/>
          <w:sz w:val="24"/>
          <w:szCs w:val="24"/>
        </w:rPr>
      </w:pPr>
      <w:r>
        <w:rPr>
          <w:rFonts w:hint="eastAsia" w:ascii="宋体" w:hAnsi="宋体" w:cs="宋体"/>
          <w:color w:val="auto"/>
          <w:kern w:val="0"/>
          <w:sz w:val="24"/>
          <w:szCs w:val="24"/>
        </w:rPr>
        <w:t>24.2未进行解密或未按要求成功解密的投标文件。</w:t>
      </w:r>
    </w:p>
    <w:p w14:paraId="71BF00C1">
      <w:pPr>
        <w:pStyle w:val="137"/>
        <w:kinsoku/>
        <w:wordWrap/>
        <w:overflowPunct/>
        <w:topLinePunct w:val="0"/>
        <w:autoSpaceDE w:val="0"/>
        <w:autoSpaceDN w:val="0"/>
        <w:bidi w:val="0"/>
        <w:adjustRightInd w:val="0"/>
        <w:snapToGrid w:val="0"/>
        <w:spacing w:beforeAutospacing="0" w:afterAutospacing="0"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25.除投标人须知前附表另有规定外，投标人所提交的电子投标文件不予退还。</w:t>
      </w:r>
    </w:p>
    <w:p w14:paraId="5E16E243">
      <w:pPr>
        <w:tabs>
          <w:tab w:val="left" w:pos="1260"/>
        </w:tabs>
        <w:autoSpaceDE w:val="0"/>
        <w:autoSpaceDN w:val="0"/>
        <w:adjustRightInd w:val="0"/>
        <w:snapToGrid w:val="0"/>
        <w:spacing w:line="360" w:lineRule="auto"/>
        <w:ind w:left="600"/>
        <w:jc w:val="center"/>
        <w:rPr>
          <w:rFonts w:ascii="宋体" w:hAnsi="宋体" w:cs="宋体"/>
          <w:b/>
          <w:color w:val="auto"/>
          <w:kern w:val="0"/>
          <w:sz w:val="28"/>
          <w:szCs w:val="24"/>
        </w:rPr>
      </w:pPr>
      <w:r>
        <w:rPr>
          <w:rFonts w:hint="eastAsia" w:ascii="宋体" w:hAnsi="宋体" w:cs="宋体"/>
          <w:b/>
          <w:color w:val="auto"/>
          <w:kern w:val="0"/>
          <w:sz w:val="28"/>
          <w:szCs w:val="24"/>
        </w:rPr>
        <w:t>五、开标和评标</w:t>
      </w:r>
    </w:p>
    <w:p w14:paraId="67F7A81C">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w:t>
      </w:r>
      <w:r>
        <w:rPr>
          <w:rFonts w:hint="eastAsia" w:ascii="宋体" w:hAnsi="宋体" w:cs="宋体"/>
          <w:b/>
          <w:color w:val="auto"/>
          <w:kern w:val="0"/>
          <w:sz w:val="24"/>
          <w:szCs w:val="24"/>
          <w:lang w:val="en-US" w:eastAsia="zh-CN"/>
        </w:rPr>
        <w:t>6</w:t>
      </w:r>
      <w:r>
        <w:rPr>
          <w:rFonts w:hint="eastAsia" w:ascii="宋体" w:hAnsi="宋体" w:cs="宋体"/>
          <w:b/>
          <w:color w:val="auto"/>
          <w:kern w:val="0"/>
          <w:sz w:val="24"/>
          <w:szCs w:val="24"/>
        </w:rPr>
        <w:t>.开标</w:t>
      </w:r>
    </w:p>
    <w:p w14:paraId="0AD633C4">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 xml:space="preserve">.1招标人将按招标文件规定的时间和地点组织远程不见面开标。开标由代理机构主持，投标人无须到现场。评标委员会成员不得参加开标活动。 </w:t>
      </w:r>
    </w:p>
    <w:p w14:paraId="5D725389">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 xml:space="preserve">.2招标人应当对开标、评标现场活动进行全程录音录像。录音录像应当清晰可辨，音像资料作为采购文件一并存档。 </w:t>
      </w:r>
    </w:p>
    <w:p w14:paraId="27E8E51B">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 xml:space="preserve">.3开标时，由代理机构开通网上开标大厅及开启“群聊”等功能；投标人进行电子投标文件的解密。 </w:t>
      </w:r>
    </w:p>
    <w:p w14:paraId="481C6EF8">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 xml:space="preserve">.3.1电子投标文件的解密：全流程电子化交易项目电子投标文件采用投标人一层加密。解密时由投标人进行一次解密即可。 </w:t>
      </w:r>
    </w:p>
    <w:p w14:paraId="247C9C9B">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 xml:space="preserve">.3.1.1投标人解密：投标人使用本单位CA数字证书远程进行解密。 </w:t>
      </w:r>
    </w:p>
    <w:p w14:paraId="7DEE2EA8">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.3.1.2因投标人原因电子投标文件解密失败的，其投标将被拒绝。</w:t>
      </w:r>
    </w:p>
    <w:p w14:paraId="2CCCA824">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 xml:space="preserve">.3.2投标人不足3家的，不得开标。 </w:t>
      </w:r>
    </w:p>
    <w:p w14:paraId="362425FC">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 xml:space="preserve">.3.3开标过程由采购代理机构负责记录，《开标情况记录表》经投标人进行电子签章后随采购文件一并存档。投标人未电子签章的，视同认可开标结果。 </w:t>
      </w:r>
    </w:p>
    <w:p w14:paraId="7542C0EB">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 xml:space="preserve">.3.4投标人对开标过程和开标记录如有疑义，以及认为采购人、采购代理机构相关工作人员有需要回避的情形的，应通过网上开标大厅的“发起异议”功能在线提出询问或者回避申请。采购人、采购代理机构对投标人代表提出的询问或者回避申请应当及时处理。 </w:t>
      </w:r>
    </w:p>
    <w:p w14:paraId="5691298E">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 xml:space="preserve">.3.5项目远程不见面开标活动结束时，投标人应在《开标情况记录表》上进行电子签章。投标人未签章的，视同认可开标结果。 </w:t>
      </w:r>
    </w:p>
    <w:p w14:paraId="4AD9CDD5">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w:t>
      </w:r>
      <w:r>
        <w:rPr>
          <w:rFonts w:hint="eastAsia" w:ascii="宋体" w:hAnsi="宋体" w:cs="宋体"/>
          <w:b/>
          <w:color w:val="auto"/>
          <w:kern w:val="0"/>
          <w:sz w:val="24"/>
          <w:szCs w:val="24"/>
          <w:lang w:val="en-US" w:eastAsia="zh-CN"/>
        </w:rPr>
        <w:t>7</w:t>
      </w:r>
      <w:r>
        <w:rPr>
          <w:rFonts w:hint="eastAsia" w:ascii="宋体" w:hAnsi="宋体" w:cs="宋体"/>
          <w:b/>
          <w:color w:val="auto"/>
          <w:kern w:val="0"/>
          <w:sz w:val="24"/>
          <w:szCs w:val="24"/>
        </w:rPr>
        <w:t>.资格审查</w:t>
      </w:r>
    </w:p>
    <w:p w14:paraId="3B94EF23">
      <w:pPr>
        <w:autoSpaceDE w:val="0"/>
        <w:autoSpaceDN w:val="0"/>
        <w:adjustRightInd w:val="0"/>
        <w:snapToGrid w:val="0"/>
        <w:spacing w:line="360" w:lineRule="auto"/>
        <w:ind w:firstLine="480" w:firstLineChars="200"/>
        <w:jc w:val="left"/>
        <w:rPr>
          <w:rFonts w:ascii="宋体" w:hAnsi="宋体" w:cs="宋体"/>
          <w:b/>
          <w:color w:val="auto"/>
          <w:kern w:val="0"/>
          <w:sz w:val="24"/>
          <w:szCs w:val="24"/>
        </w:rPr>
      </w:pPr>
      <w:r>
        <w:rPr>
          <w:rFonts w:hint="eastAsia" w:ascii="宋体" w:hAnsi="宋体" w:cs="宋体"/>
          <w:color w:val="auto"/>
          <w:kern w:val="0"/>
          <w:sz w:val="24"/>
          <w:szCs w:val="24"/>
        </w:rPr>
        <w:t>开标结束后，采购人依法对</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的资格进行审查。合格</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不足3家的，不得评标。</w:t>
      </w:r>
    </w:p>
    <w:p w14:paraId="71AFCE87">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w:t>
      </w:r>
      <w:r>
        <w:rPr>
          <w:rFonts w:hint="eastAsia" w:ascii="宋体" w:hAnsi="宋体" w:cs="宋体"/>
          <w:b/>
          <w:color w:val="auto"/>
          <w:kern w:val="0"/>
          <w:sz w:val="24"/>
          <w:szCs w:val="24"/>
          <w:lang w:val="en-US" w:eastAsia="zh-CN"/>
        </w:rPr>
        <w:t>8</w:t>
      </w:r>
      <w:r>
        <w:rPr>
          <w:rFonts w:hint="eastAsia" w:ascii="宋体" w:hAnsi="宋体" w:cs="宋体"/>
          <w:b/>
          <w:color w:val="auto"/>
          <w:kern w:val="0"/>
          <w:sz w:val="24"/>
          <w:szCs w:val="24"/>
        </w:rPr>
        <w:t>.评标委员会的组成</w:t>
      </w:r>
    </w:p>
    <w:p w14:paraId="33534C04">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28.1采购人将依法组建评标委员会，评标委员会由采购人代表和评审专家组成，成员人数应当为5人以上单数。评审专家依法从政府采购评审专家库中随机抽取。</w:t>
      </w:r>
    </w:p>
    <w:p w14:paraId="1AC1A68A">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28.1.1采购项目符合下列情形之一的，评标委员会成员人数应当为7人以上单数：</w:t>
      </w:r>
    </w:p>
    <w:p w14:paraId="7A46A2E1">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采购预算金额在1000万元以上；</w:t>
      </w:r>
    </w:p>
    <w:p w14:paraId="55A22CF5">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技术复杂；</w:t>
      </w:r>
    </w:p>
    <w:p w14:paraId="6D1E6387">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社会影响较大。</w:t>
      </w:r>
    </w:p>
    <w:p w14:paraId="4A56B717">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28.2评审专家对本单位的采购项目只能作为采购人代表参与评标。采购代理机构工作人员不得参加由本机构代理的政府采购项目的评标。</w:t>
      </w:r>
    </w:p>
    <w:p w14:paraId="7B3A6D2C">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28.3评审专家与投标人存在下列利害关系之一的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应当回避</w:t>
      </w:r>
      <w:r>
        <w:rPr>
          <w:rFonts w:hint="eastAsia" w:ascii="宋体" w:hAnsi="宋体" w:cs="宋体"/>
          <w:color w:val="auto"/>
          <w:kern w:val="0"/>
          <w:sz w:val="24"/>
          <w:szCs w:val="24"/>
          <w:lang w:eastAsia="zh-CN"/>
        </w:rPr>
        <w:t>：</w:t>
      </w:r>
    </w:p>
    <w:p w14:paraId="33D12554">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参加采购活动前三年内</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与供应商存在劳动关系</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或者担任过供应商的董事、监事</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或者是供应商的控股股东或实际控制人；</w:t>
      </w:r>
    </w:p>
    <w:p w14:paraId="25D857FD">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与供应商的法定代表人或者负责人有夫妻、直系血亲、三代以内旁系血亲或者近姻亲关系；</w:t>
      </w:r>
    </w:p>
    <w:p w14:paraId="65363202">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与供应商有其他可能影响政府采购活动公平、公正进行的关系。</w:t>
      </w:r>
    </w:p>
    <w:p w14:paraId="1278D3CC">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28.4评审专家发现本人与参加采购活动的供应商有利害关系的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应当主动提出回避。采购人或者代理机构发现评审专家与参加采购活动的供应商有利害关系的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应当要求其回避。</w:t>
      </w:r>
    </w:p>
    <w:p w14:paraId="57768886">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28.5采购人不得担任评标小组长。</w:t>
      </w:r>
    </w:p>
    <w:p w14:paraId="47866C17">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28.6采购人可以在评标前说明项目背景和采购需求，说明内容不得含有歧视性、倾向性意见，不得超出招标文件所述范围。说明应当提交书面材料，并随采购文件一并存档。</w:t>
      </w:r>
    </w:p>
    <w:p w14:paraId="73F6F8DD">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28.7评标委员会成员名单在评标结果公告前应当保密。</w:t>
      </w:r>
    </w:p>
    <w:p w14:paraId="375BAAC7">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2</w:t>
      </w:r>
      <w:r>
        <w:rPr>
          <w:rFonts w:hint="eastAsia" w:ascii="宋体" w:hAnsi="宋体" w:cs="宋体"/>
          <w:b/>
          <w:color w:val="auto"/>
          <w:kern w:val="0"/>
          <w:sz w:val="24"/>
          <w:szCs w:val="24"/>
          <w:lang w:val="en-US" w:eastAsia="zh-CN"/>
        </w:rPr>
        <w:t>9</w:t>
      </w:r>
      <w:r>
        <w:rPr>
          <w:rFonts w:hint="eastAsia" w:ascii="宋体" w:hAnsi="宋体" w:cs="宋体"/>
          <w:b/>
          <w:color w:val="auto"/>
          <w:kern w:val="0"/>
          <w:sz w:val="24"/>
          <w:szCs w:val="24"/>
        </w:rPr>
        <w:t>.符合性审查</w:t>
      </w:r>
    </w:p>
    <w:p w14:paraId="056F202B">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.1评标委员会依据有关法律法规和招标文件的规定，对符合资格的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的投标文件进行符合性审查，以确定其是否满足招标文件的实质性要求。</w:t>
      </w:r>
    </w:p>
    <w:p w14:paraId="0E885665">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.2审查、评价投标文件是否符合招标文件的商务、技术等实质性要求。</w:t>
      </w:r>
    </w:p>
    <w:p w14:paraId="1F754C48">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.3可要求</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对投标文件有关事项作出澄清或者说明。</w:t>
      </w:r>
    </w:p>
    <w:p w14:paraId="697B56AD">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lang w:val="en-US" w:eastAsia="zh-CN"/>
        </w:rPr>
        <w:t>30</w:t>
      </w:r>
      <w:r>
        <w:rPr>
          <w:rFonts w:hint="eastAsia" w:ascii="宋体" w:hAnsi="宋体" w:cs="宋体"/>
          <w:b/>
          <w:color w:val="auto"/>
          <w:kern w:val="0"/>
          <w:sz w:val="24"/>
          <w:szCs w:val="24"/>
        </w:rPr>
        <w:t>.投标文件的澄清</w:t>
      </w:r>
    </w:p>
    <w:p w14:paraId="46FA3E1A">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30</w:t>
      </w:r>
      <w:r>
        <w:rPr>
          <w:rFonts w:hint="eastAsia" w:ascii="宋体" w:hAnsi="宋体" w:cs="宋体"/>
          <w:color w:val="auto"/>
          <w:kern w:val="0"/>
          <w:sz w:val="24"/>
          <w:szCs w:val="24"/>
        </w:rPr>
        <w:t>.1对于投标文件中含义不明确、同类问题表述不一致或者有明显文字和计算错误的内容，评标委员会应当要求</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作出必要的澄清、说明或者补正。</w:t>
      </w:r>
    </w:p>
    <w:p w14:paraId="5478E790">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30</w:t>
      </w:r>
      <w:r>
        <w:rPr>
          <w:rFonts w:hint="eastAsia" w:ascii="宋体" w:hAnsi="宋体" w:cs="宋体"/>
          <w:color w:val="auto"/>
          <w:kern w:val="0"/>
          <w:sz w:val="24"/>
          <w:szCs w:val="24"/>
        </w:rPr>
        <w:t>.2</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的澄清、说明或者补正应当采用包括但不限于电子邮件或电话等形式。</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的澄清、说明或者补正不得超出投标文件的范围或者改变投标文件的实质性内容。</w:t>
      </w:r>
    </w:p>
    <w:p w14:paraId="7D19C374">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30</w:t>
      </w:r>
      <w:r>
        <w:rPr>
          <w:rFonts w:hint="eastAsia" w:ascii="宋体" w:hAnsi="宋体" w:cs="宋体"/>
          <w:color w:val="auto"/>
          <w:kern w:val="0"/>
          <w:sz w:val="24"/>
          <w:szCs w:val="24"/>
        </w:rPr>
        <w:t>.3</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的澄清文件是其投标文件的组成部分。</w:t>
      </w:r>
    </w:p>
    <w:p w14:paraId="03626982">
      <w:pPr>
        <w:pStyle w:val="137"/>
        <w:autoSpaceDE w:val="0"/>
        <w:autoSpaceDN w:val="0"/>
        <w:adjustRightInd w:val="0"/>
        <w:snapToGrid w:val="0"/>
        <w:spacing w:line="360" w:lineRule="auto"/>
        <w:ind w:firstLine="0" w:firstLineChars="0"/>
        <w:jc w:val="left"/>
        <w:rPr>
          <w:rFonts w:hint="eastAsia" w:ascii="宋体" w:hAnsi="宋体" w:eastAsia="宋体" w:cs="宋体"/>
          <w:b/>
          <w:color w:val="auto"/>
          <w:kern w:val="0"/>
          <w:sz w:val="24"/>
          <w:szCs w:val="24"/>
          <w:lang w:val="en-US" w:eastAsia="zh-CN"/>
        </w:rPr>
      </w:pPr>
      <w:r>
        <w:rPr>
          <w:rFonts w:hint="eastAsia" w:ascii="宋体" w:hAnsi="宋体" w:cs="宋体"/>
          <w:b/>
          <w:color w:val="auto"/>
          <w:kern w:val="0"/>
          <w:sz w:val="24"/>
          <w:szCs w:val="24"/>
          <w:lang w:val="en-US" w:eastAsia="zh-CN"/>
        </w:rPr>
        <w:t>31</w:t>
      </w:r>
      <w:r>
        <w:rPr>
          <w:rFonts w:hint="eastAsia" w:ascii="宋体" w:hAnsi="宋体" w:cs="宋体"/>
          <w:b/>
          <w:color w:val="auto"/>
          <w:kern w:val="0"/>
          <w:sz w:val="24"/>
          <w:szCs w:val="24"/>
        </w:rPr>
        <w:t>.投标文件报价出现前后不一致的修正</w:t>
      </w:r>
      <w:r>
        <w:rPr>
          <w:rFonts w:hint="eastAsia" w:ascii="宋体" w:hAnsi="宋体" w:cs="宋体"/>
          <w:b/>
          <w:color w:val="auto"/>
          <w:kern w:val="0"/>
          <w:sz w:val="24"/>
          <w:szCs w:val="24"/>
          <w:lang w:val="en-US" w:eastAsia="zh-CN"/>
        </w:rPr>
        <w:tab/>
      </w:r>
    </w:p>
    <w:p w14:paraId="5BB1C840">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31.1</w:t>
      </w:r>
      <w:r>
        <w:rPr>
          <w:rFonts w:hint="eastAsia" w:ascii="宋体" w:hAnsi="宋体" w:cs="宋体"/>
          <w:color w:val="auto"/>
          <w:kern w:val="0"/>
          <w:sz w:val="24"/>
          <w:szCs w:val="24"/>
        </w:rPr>
        <w:t>投标文件中开标一览表(报价表)内容与投标文件中相应内容不一致的，以开标一览表(报价表)为准；</w:t>
      </w:r>
    </w:p>
    <w:p w14:paraId="649446F9">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31.2</w:t>
      </w:r>
      <w:r>
        <w:rPr>
          <w:rFonts w:hint="eastAsia" w:ascii="宋体" w:hAnsi="宋体" w:cs="宋体"/>
          <w:color w:val="auto"/>
          <w:kern w:val="0"/>
          <w:sz w:val="24"/>
          <w:szCs w:val="24"/>
        </w:rPr>
        <w:t>大写金额和小写金额不一致的，以大写金额为准；</w:t>
      </w:r>
    </w:p>
    <w:p w14:paraId="06AB25E2">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31.3</w:t>
      </w:r>
      <w:r>
        <w:rPr>
          <w:rFonts w:hint="eastAsia" w:ascii="宋体" w:hAnsi="宋体" w:cs="宋体"/>
          <w:color w:val="auto"/>
          <w:kern w:val="0"/>
          <w:sz w:val="24"/>
          <w:szCs w:val="24"/>
        </w:rPr>
        <w:t>单价金额小数点或者百分比有明显错位的，以开标一览表的总价为准，并修改单价；</w:t>
      </w:r>
    </w:p>
    <w:p w14:paraId="79C59A04">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31.4</w:t>
      </w:r>
      <w:r>
        <w:rPr>
          <w:rFonts w:hint="eastAsia" w:ascii="宋体" w:hAnsi="宋体" w:cs="宋体"/>
          <w:color w:val="auto"/>
          <w:kern w:val="0"/>
          <w:sz w:val="24"/>
          <w:szCs w:val="24"/>
        </w:rPr>
        <w:t>总价金额与按单价汇总金额不一致的，以单价金额计算结果为准。同时出现两种以上不一致的，按照前款规定的顺序修正。修正后的报价按照“</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须知”2</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.2规定经</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确认后产生约束力，</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不确认的，其投标无效。</w:t>
      </w:r>
    </w:p>
    <w:p w14:paraId="00EA327F">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lang w:val="en-US" w:eastAsia="zh-CN"/>
        </w:rPr>
        <w:t>32</w:t>
      </w:r>
      <w:r>
        <w:rPr>
          <w:rFonts w:hint="eastAsia" w:ascii="宋体" w:hAnsi="宋体" w:cs="宋体"/>
          <w:b/>
          <w:color w:val="auto"/>
          <w:kern w:val="0"/>
          <w:sz w:val="24"/>
          <w:szCs w:val="24"/>
        </w:rPr>
        <w:t>.投标无效情形</w:t>
      </w:r>
    </w:p>
    <w:p w14:paraId="11F84369">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32.1投标文件属下列情况之一的，按照无效投标处理：</w:t>
      </w:r>
    </w:p>
    <w:p w14:paraId="0D124579">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未按照招标文件的规定提交投标承诺函的；</w:t>
      </w:r>
    </w:p>
    <w:p w14:paraId="7A986F26">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投标文件未按招标文件要求签署、盖章的；</w:t>
      </w:r>
    </w:p>
    <w:p w14:paraId="7CE33442">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不具备招标文件中规定的资格要求的；</w:t>
      </w:r>
    </w:p>
    <w:p w14:paraId="3B9FCB16">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报价超过招标文件中规定的预算金额或者最高限价的；</w:t>
      </w:r>
    </w:p>
    <w:p w14:paraId="4D5DBCB0">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投标文件含有采购人不能接受的附加条件的。</w:t>
      </w:r>
    </w:p>
    <w:p w14:paraId="0D7D7A7C">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32.2有下列情形之一的，视为投标人串通投标，其投标无效：</w:t>
      </w:r>
    </w:p>
    <w:p w14:paraId="6C9C6831">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不同投标人的投标文件由同一单位或者个人编制；</w:t>
      </w:r>
    </w:p>
    <w:p w14:paraId="43AAE4E1">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不同投标人委托同一单位或者个人办理投标事宜；</w:t>
      </w:r>
    </w:p>
    <w:p w14:paraId="6E4213C4">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不同投标人的投标文件载明的项目管理成员或者联系人员为同一人；</w:t>
      </w:r>
    </w:p>
    <w:p w14:paraId="523F0B30">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不同投标人的投标文件异常一致或者投标报价呈规律性差异。</w:t>
      </w:r>
    </w:p>
    <w:p w14:paraId="6EE910AB">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30ED9733">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D6B0F0B">
      <w:pPr>
        <w:kinsoku/>
        <w:wordWrap/>
        <w:overflowPunct/>
        <w:topLinePunct w:val="0"/>
        <w:autoSpaceDE w:val="0"/>
        <w:autoSpaceDN w:val="0"/>
        <w:bidi w:val="0"/>
        <w:adjustRightInd w:val="0"/>
        <w:snapToGrid w:val="0"/>
        <w:spacing w:beforeAutospacing="0" w:afterAutospacing="0" w:line="360" w:lineRule="auto"/>
        <w:ind w:firstLine="482" w:firstLineChars="200"/>
        <w:jc w:val="left"/>
        <w:rPr>
          <w:rFonts w:ascii="宋体" w:hAnsi="宋体" w:cs="宋体"/>
          <w:b/>
          <w:color w:val="auto"/>
          <w:kern w:val="0"/>
          <w:sz w:val="24"/>
          <w:szCs w:val="24"/>
        </w:rPr>
      </w:pPr>
      <w:r>
        <w:rPr>
          <w:rFonts w:hint="eastAsia" w:ascii="宋体" w:hAnsi="宋体" w:cs="宋体"/>
          <w:b/>
          <w:color w:val="auto"/>
          <w:kern w:val="0"/>
          <w:sz w:val="24"/>
          <w:szCs w:val="24"/>
        </w:rPr>
        <w:t>32.5不同投标人电子投标文件记录的网卡MAC地址、CPU序号、硬盘序列号等硬件特征码均相同时，视为“不同投标人的投标文件由同一单位或者个人编制”或“不同投标人委托同一单位或者个人办理响应事宜”，其投标无效。</w:t>
      </w:r>
    </w:p>
    <w:p w14:paraId="320210A9">
      <w:pPr>
        <w:kinsoku/>
        <w:wordWrap/>
        <w:overflowPunct/>
        <w:topLinePunct w:val="0"/>
        <w:autoSpaceDE w:val="0"/>
        <w:autoSpaceDN w:val="0"/>
        <w:bidi w:val="0"/>
        <w:adjustRightInd w:val="0"/>
        <w:snapToGrid w:val="0"/>
        <w:spacing w:beforeAutospacing="0" w:afterAutospacing="0" w:line="360" w:lineRule="auto"/>
        <w:ind w:firstLine="482" w:firstLineChars="200"/>
        <w:rPr>
          <w:rFonts w:ascii="宋体" w:hAnsi="宋体" w:cs="宋体"/>
          <w:b/>
          <w:color w:val="auto"/>
          <w:kern w:val="0"/>
          <w:sz w:val="24"/>
          <w:szCs w:val="24"/>
        </w:rPr>
      </w:pPr>
      <w:r>
        <w:rPr>
          <w:rFonts w:hint="eastAsia" w:ascii="宋体" w:hAnsi="宋体" w:cs="宋体"/>
          <w:b/>
          <w:bCs/>
          <w:color w:val="auto"/>
          <w:sz w:val="24"/>
          <w:szCs w:val="24"/>
          <w:lang w:val="zh-CN"/>
        </w:rPr>
        <w:t>32.6对投标文件进行一致性分析，分析投标文件是否有雷同现象，判定投标人是否有串通投标行为。</w:t>
      </w:r>
    </w:p>
    <w:p w14:paraId="2381BFC8">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32.7法律、法规和招标文件规定的其他无效情形。</w:t>
      </w:r>
    </w:p>
    <w:p w14:paraId="0287EF38">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w:t>
      </w:r>
      <w:r>
        <w:rPr>
          <w:rFonts w:hint="eastAsia" w:ascii="宋体" w:hAnsi="宋体" w:cs="宋体"/>
          <w:b/>
          <w:color w:val="auto"/>
          <w:kern w:val="0"/>
          <w:sz w:val="24"/>
          <w:szCs w:val="24"/>
          <w:lang w:val="en-US" w:eastAsia="zh-CN"/>
        </w:rPr>
        <w:t>3</w:t>
      </w:r>
      <w:r>
        <w:rPr>
          <w:rFonts w:hint="eastAsia" w:ascii="宋体" w:hAnsi="宋体" w:cs="宋体"/>
          <w:b/>
          <w:color w:val="auto"/>
          <w:kern w:val="0"/>
          <w:sz w:val="24"/>
          <w:szCs w:val="24"/>
        </w:rPr>
        <w:t>.相同品牌</w:t>
      </w:r>
      <w:r>
        <w:rPr>
          <w:rFonts w:hint="eastAsia" w:ascii="宋体" w:hAnsi="宋体" w:cs="宋体"/>
          <w:b/>
          <w:color w:val="auto"/>
          <w:kern w:val="0"/>
          <w:sz w:val="24"/>
          <w:szCs w:val="24"/>
          <w:lang w:eastAsia="zh-CN"/>
        </w:rPr>
        <w:t>投标人</w:t>
      </w:r>
      <w:r>
        <w:rPr>
          <w:rFonts w:hint="eastAsia" w:ascii="宋体" w:hAnsi="宋体" w:cs="宋体"/>
          <w:b/>
          <w:color w:val="auto"/>
          <w:kern w:val="0"/>
          <w:sz w:val="24"/>
          <w:szCs w:val="24"/>
        </w:rPr>
        <w:t>的认定</w:t>
      </w:r>
      <w:r>
        <w:rPr>
          <w:rFonts w:hint="eastAsia" w:ascii="宋体" w:hAnsi="宋体" w:cs="宋体"/>
          <w:b/>
          <w:bCs/>
          <w:color w:val="auto"/>
          <w:sz w:val="24"/>
          <w:szCs w:val="24"/>
          <w:lang w:val="zh-CN"/>
        </w:rPr>
        <w:t>（服务类项目不适用本条款规定）</w:t>
      </w:r>
    </w:p>
    <w:p w14:paraId="71645212">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33</w:t>
      </w:r>
      <w:r>
        <w:rPr>
          <w:rFonts w:hint="eastAsia" w:ascii="宋体" w:hAnsi="宋体" w:cs="宋体"/>
          <w:color w:val="auto"/>
          <w:kern w:val="0"/>
          <w:sz w:val="24"/>
          <w:szCs w:val="24"/>
        </w:rPr>
        <w:t>.1采用最低评标价法的，提供相同品牌产品的不同</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参加同一合同项下投标的，以其中通过资格审查、符合性审查且报价最低的参加评标；报价相同的，由采购人或者采购人委托评标委员会采取随机抽取方式确定一个参加评标的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，其他投标无效。</w:t>
      </w:r>
    </w:p>
    <w:p w14:paraId="62B3377A">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33</w:t>
      </w:r>
      <w:r>
        <w:rPr>
          <w:rFonts w:hint="eastAsia" w:ascii="宋体" w:hAnsi="宋体" w:cs="宋体"/>
          <w:color w:val="auto"/>
          <w:kern w:val="0"/>
          <w:sz w:val="24"/>
          <w:szCs w:val="24"/>
        </w:rPr>
        <w:t>.2采用综合评分法的，提供相同品牌产品（非单一产品采购项目，多家</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提供的核心产品品牌相同）且通过资格审查、符合性审查的不同</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参加同一合同项下投标的，按一家</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计算，评审后得分最高的同品牌</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作为中标候选人推荐；评审得分相同的，由采购人或者采购人委托评标委员会采取随机抽取方式确定一个</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获得中标人推荐资格，其他同品牌</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不作为中标候选人。</w:t>
      </w:r>
    </w:p>
    <w:p w14:paraId="6C480055">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w:t>
      </w:r>
      <w:r>
        <w:rPr>
          <w:rFonts w:hint="eastAsia" w:ascii="宋体" w:hAnsi="宋体" w:cs="宋体"/>
          <w:b/>
          <w:color w:val="auto"/>
          <w:kern w:val="0"/>
          <w:sz w:val="24"/>
          <w:szCs w:val="24"/>
          <w:lang w:val="en-US" w:eastAsia="zh-CN"/>
        </w:rPr>
        <w:t>4</w:t>
      </w:r>
      <w:r>
        <w:rPr>
          <w:rFonts w:hint="eastAsia" w:ascii="宋体" w:hAnsi="宋体" w:cs="宋体"/>
          <w:b/>
          <w:color w:val="auto"/>
          <w:kern w:val="0"/>
          <w:sz w:val="24"/>
          <w:szCs w:val="24"/>
        </w:rPr>
        <w:t>.投标文件的比较与评价</w:t>
      </w:r>
    </w:p>
    <w:p w14:paraId="72E796BB">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评标委员会按照招标文件中规定的评标方法和标准，对符合性审查合格的投标文件进行商务和技术评估，综合比较与评价。</w:t>
      </w:r>
    </w:p>
    <w:p w14:paraId="65970E38">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rPr>
        <w:t>.评标方法、评标标准</w:t>
      </w:r>
    </w:p>
    <w:p w14:paraId="2567B97D">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35.1评标方法分为最低评标价法和综合评分法。</w:t>
      </w:r>
    </w:p>
    <w:p w14:paraId="4F1BC6D1">
      <w:pPr>
        <w:kinsoku/>
        <w:wordWrap/>
        <w:overflowPunct/>
        <w:topLinePunct w:val="0"/>
        <w:autoSpaceDE w:val="0"/>
        <w:autoSpaceDN w:val="0"/>
        <w:bidi w:val="0"/>
        <w:adjustRightInd w:val="0"/>
        <w:snapToGrid w:val="0"/>
        <w:spacing w:beforeAutospacing="0" w:afterAutospacing="0"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（1）最低评标价法</w:t>
      </w:r>
    </w:p>
    <w:p w14:paraId="0824D78C">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a. 最低评标价法，是指投标文件满足招标文件全部实质性要求，且投标报价最低的投标人为中标候选人的评标方法。</w:t>
      </w:r>
    </w:p>
    <w:p w14:paraId="74A1BC25">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b. 采用最低评标价法评标时，除了算术修正和落实政府采购政策需进行的价格扣除外，不能对投标人的投标价格进行任何调整。</w:t>
      </w:r>
    </w:p>
    <w:p w14:paraId="78EBB153">
      <w:pPr>
        <w:kinsoku/>
        <w:wordWrap/>
        <w:overflowPunct/>
        <w:topLinePunct w:val="0"/>
        <w:autoSpaceDE w:val="0"/>
        <w:autoSpaceDN w:val="0"/>
        <w:bidi w:val="0"/>
        <w:adjustRightInd w:val="0"/>
        <w:snapToGrid w:val="0"/>
        <w:spacing w:beforeAutospacing="0" w:afterAutospacing="0"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（2）综合评分法，是指投标文件满足招标文件全部实质性要求，且按照评审因素的量化指标评审得分最高的投标人为中标候选人的评标方法。</w:t>
      </w:r>
    </w:p>
    <w:p w14:paraId="47977B0B">
      <w:pPr>
        <w:kinsoku/>
        <w:wordWrap/>
        <w:overflowPunct/>
        <w:topLinePunct w:val="0"/>
        <w:autoSpaceDE w:val="0"/>
        <w:autoSpaceDN w:val="0"/>
        <w:bidi w:val="0"/>
        <w:adjustRightInd w:val="0"/>
        <w:snapToGrid w:val="0"/>
        <w:spacing w:beforeAutospacing="0" w:afterAutospacing="0" w:line="360" w:lineRule="auto"/>
        <w:ind w:firstLine="600" w:firstLineChars="250"/>
        <w:jc w:val="left"/>
        <w:rPr>
          <w:rFonts w:ascii="宋体" w:hAnsi="宋体" w:cs="宋体"/>
          <w:color w:val="auto"/>
          <w:kern w:val="0"/>
          <w:sz w:val="24"/>
          <w:szCs w:val="24"/>
        </w:rPr>
      </w:pPr>
      <w:r>
        <w:rPr>
          <w:rFonts w:hint="eastAsia" w:ascii="宋体" w:hAnsi="宋体" w:cs="宋体"/>
          <w:color w:val="auto"/>
          <w:kern w:val="0"/>
          <w:sz w:val="24"/>
          <w:szCs w:val="24"/>
        </w:rPr>
        <w:t>35.2价格分</w:t>
      </w:r>
    </w:p>
    <w:p w14:paraId="7F01DD2A">
      <w:pPr>
        <w:kinsoku/>
        <w:wordWrap/>
        <w:overflowPunct/>
        <w:topLinePunct w:val="0"/>
        <w:autoSpaceDE w:val="0"/>
        <w:autoSpaceDN w:val="0"/>
        <w:bidi w:val="0"/>
        <w:adjustRightInd w:val="0"/>
        <w:snapToGrid w:val="0"/>
        <w:spacing w:beforeAutospacing="0" w:afterAutospacing="0"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（1）价格分采用低价优先法计算，即满足招标文件要求且投标价格最低的投标报价为评标基准价，其价格分为满分。其他投标人的价格分统一按照下列公式计算：</w:t>
      </w:r>
    </w:p>
    <w:p w14:paraId="133B7288">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投标报价得分=(评标基准价/投标报价)×100</w:t>
      </w:r>
    </w:p>
    <w:p w14:paraId="093D81DD">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评标总得分=F1×A1+F2×A2+……+Fn×An</w:t>
      </w:r>
    </w:p>
    <w:p w14:paraId="2D92174A">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F1、F2……Fn分别为各项评审因素的得分</w:t>
      </w:r>
      <w:r>
        <w:rPr>
          <w:rFonts w:hint="eastAsia" w:ascii="宋体" w:hAnsi="宋体" w:cs="宋体"/>
          <w:color w:val="auto"/>
          <w:kern w:val="0"/>
          <w:sz w:val="24"/>
          <w:szCs w:val="24"/>
          <w:lang w:eastAsia="zh-CN"/>
        </w:rPr>
        <w:t>；</w:t>
      </w:r>
    </w:p>
    <w:p w14:paraId="1A2B1D42">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A1、A2、……An 分别为各项评审因素所占的权重(A1+A2+……+An=1)。</w:t>
      </w:r>
    </w:p>
    <w:p w14:paraId="43085651">
      <w:pPr>
        <w:kinsoku/>
        <w:wordWrap/>
        <w:overflowPunct/>
        <w:topLinePunct w:val="0"/>
        <w:autoSpaceDE w:val="0"/>
        <w:autoSpaceDN w:val="0"/>
        <w:bidi w:val="0"/>
        <w:adjustRightInd w:val="0"/>
        <w:snapToGrid w:val="0"/>
        <w:spacing w:beforeAutospacing="0" w:afterAutospacing="0"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（2）评标过程中，不得去掉报价中的最高报价和最低报价。</w:t>
      </w:r>
    </w:p>
    <w:p w14:paraId="70B5AF01">
      <w:pPr>
        <w:kinsoku/>
        <w:wordWrap/>
        <w:overflowPunct/>
        <w:topLinePunct w:val="0"/>
        <w:autoSpaceDE w:val="0"/>
        <w:autoSpaceDN w:val="0"/>
        <w:bidi w:val="0"/>
        <w:adjustRightInd w:val="0"/>
        <w:snapToGrid w:val="0"/>
        <w:spacing w:beforeAutospacing="0" w:afterAutospacing="0"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（3）因落实政府采购政策进行价格调整的，以调整后的价格计算评标基准价和投标报价。</w:t>
      </w:r>
    </w:p>
    <w:p w14:paraId="484CDC05">
      <w:pPr>
        <w:kinsoku/>
        <w:wordWrap/>
        <w:overflowPunct/>
        <w:topLinePunct w:val="0"/>
        <w:autoSpaceDE w:val="0"/>
        <w:autoSpaceDN w:val="0"/>
        <w:bidi w:val="0"/>
        <w:adjustRightInd w:val="0"/>
        <w:snapToGrid w:val="0"/>
        <w:spacing w:beforeAutospacing="0" w:afterAutospacing="0" w:line="360" w:lineRule="auto"/>
        <w:ind w:firstLine="472" w:firstLineChars="196"/>
        <w:jc w:val="left"/>
        <w:rPr>
          <w:rFonts w:ascii="宋体" w:hAnsi="宋体" w:cs="宋体"/>
          <w:b/>
          <w:color w:val="auto"/>
          <w:kern w:val="0"/>
          <w:sz w:val="24"/>
          <w:szCs w:val="24"/>
        </w:rPr>
      </w:pPr>
      <w:r>
        <w:rPr>
          <w:rFonts w:hint="eastAsia" w:ascii="宋体" w:hAnsi="宋体" w:cs="宋体"/>
          <w:b/>
          <w:color w:val="auto"/>
          <w:kern w:val="0"/>
          <w:sz w:val="24"/>
          <w:szCs w:val="24"/>
        </w:rPr>
        <w:t>35.3本次评标具体评标方法、评标标准见（第六章 资格审查与评标）。</w:t>
      </w:r>
    </w:p>
    <w:p w14:paraId="5E9FAF34">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w:t>
      </w:r>
      <w:r>
        <w:rPr>
          <w:rFonts w:hint="eastAsia" w:ascii="宋体" w:hAnsi="宋体" w:cs="宋体"/>
          <w:b/>
          <w:color w:val="auto"/>
          <w:kern w:val="0"/>
          <w:sz w:val="24"/>
          <w:szCs w:val="24"/>
          <w:lang w:val="en-US" w:eastAsia="zh-CN"/>
        </w:rPr>
        <w:t>6</w:t>
      </w:r>
      <w:r>
        <w:rPr>
          <w:rFonts w:hint="eastAsia" w:ascii="宋体" w:hAnsi="宋体" w:cs="宋体"/>
          <w:b/>
          <w:color w:val="auto"/>
          <w:kern w:val="0"/>
          <w:sz w:val="24"/>
          <w:szCs w:val="24"/>
        </w:rPr>
        <w:t>.推荐中标候选人</w:t>
      </w:r>
    </w:p>
    <w:p w14:paraId="102643BE">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.1采用最低评标价法的，评标结果按投标报价由低到高顺序排列。投标报价相同的并列。投标文件满足招标文件全部实质性要求且投标报价最低的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为排名第一的中标候选人。</w:t>
      </w:r>
    </w:p>
    <w:p w14:paraId="6B0FBB46">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为排名第一的中标候选人，依次类推。</w:t>
      </w:r>
    </w:p>
    <w:p w14:paraId="0F21549F">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w:t>
      </w:r>
      <w:r>
        <w:rPr>
          <w:rFonts w:hint="eastAsia" w:ascii="宋体" w:hAnsi="宋体" w:cs="宋体"/>
          <w:b/>
          <w:color w:val="auto"/>
          <w:kern w:val="0"/>
          <w:sz w:val="24"/>
          <w:szCs w:val="24"/>
          <w:lang w:val="en-US" w:eastAsia="zh-CN"/>
        </w:rPr>
        <w:t>7</w:t>
      </w:r>
      <w:r>
        <w:rPr>
          <w:rFonts w:hint="eastAsia" w:ascii="宋体" w:hAnsi="宋体" w:cs="宋体"/>
          <w:b/>
          <w:color w:val="auto"/>
          <w:kern w:val="0"/>
          <w:sz w:val="24"/>
          <w:szCs w:val="24"/>
        </w:rPr>
        <w:t>.评审意见无效情形</w:t>
      </w:r>
    </w:p>
    <w:p w14:paraId="725C44F8">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评标委员会及其成员有下列行为之一的，其评审意见无效：</w:t>
      </w:r>
    </w:p>
    <w:p w14:paraId="54EADF76">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确定参与评标至评标结束前私自接触投标人；</w:t>
      </w:r>
    </w:p>
    <w:p w14:paraId="769DA876">
      <w:pPr>
        <w:kinsoku/>
        <w:wordWrap/>
        <w:overflowPunct/>
        <w:topLinePunct w:val="0"/>
        <w:autoSpaceDE w:val="0"/>
        <w:autoSpaceDN w:val="0"/>
        <w:bidi w:val="0"/>
        <w:adjustRightInd w:val="0"/>
        <w:snapToGrid w:val="0"/>
        <w:spacing w:beforeAutospacing="0" w:afterAutospacing="0" w:line="360" w:lineRule="auto"/>
        <w:ind w:firstLine="464" w:firstLineChars="200"/>
        <w:jc w:val="left"/>
        <w:rPr>
          <w:rFonts w:ascii="宋体" w:hAnsi="宋体" w:cs="宋体"/>
          <w:color w:val="auto"/>
          <w:spacing w:val="-4"/>
          <w:kern w:val="0"/>
          <w:sz w:val="24"/>
          <w:szCs w:val="24"/>
        </w:rPr>
      </w:pPr>
      <w:r>
        <w:rPr>
          <w:rFonts w:hint="eastAsia" w:ascii="宋体" w:hAnsi="宋体" w:cs="宋体"/>
          <w:color w:val="auto"/>
          <w:spacing w:val="-4"/>
          <w:kern w:val="0"/>
          <w:sz w:val="24"/>
          <w:szCs w:val="24"/>
        </w:rPr>
        <w:t>(2</w:t>
      </w:r>
      <w:r>
        <w:rPr>
          <w:rFonts w:hint="eastAsia" w:ascii="宋体" w:hAnsi="宋体" w:cs="宋体"/>
          <w:color w:val="auto"/>
          <w:spacing w:val="-4"/>
          <w:kern w:val="0"/>
          <w:sz w:val="24"/>
          <w:szCs w:val="24"/>
          <w:lang w:eastAsia="zh-CN"/>
        </w:rPr>
        <w:t>）</w:t>
      </w:r>
      <w:r>
        <w:rPr>
          <w:rFonts w:hint="eastAsia" w:ascii="宋体" w:hAnsi="宋体" w:cs="宋体"/>
          <w:color w:val="auto"/>
          <w:spacing w:val="-4"/>
          <w:kern w:val="0"/>
          <w:sz w:val="24"/>
          <w:szCs w:val="24"/>
        </w:rPr>
        <w:t>接受投标人提出的与投标文件不一致的澄清或者说明，《投标人须知</w:t>
      </w:r>
      <w:r>
        <w:rPr>
          <w:rFonts w:hint="eastAsia" w:ascii="宋体" w:hAnsi="宋体" w:cs="宋体"/>
          <w:color w:val="auto"/>
          <w:spacing w:val="-4"/>
          <w:kern w:val="0"/>
          <w:sz w:val="24"/>
          <w:szCs w:val="24"/>
          <w:lang w:eastAsia="zh-CN"/>
        </w:rPr>
        <w:t>》第</w:t>
      </w:r>
      <w:r>
        <w:rPr>
          <w:rFonts w:hint="eastAsia" w:ascii="宋体" w:hAnsi="宋体" w:cs="宋体"/>
          <w:color w:val="auto"/>
          <w:spacing w:val="-4"/>
          <w:kern w:val="0"/>
          <w:sz w:val="24"/>
          <w:szCs w:val="24"/>
        </w:rPr>
        <w:t>29条规定的情形除外；</w:t>
      </w:r>
    </w:p>
    <w:p w14:paraId="26A52B95">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违反评标纪律发表倾向性意见或者征询采购人的倾向性意见；</w:t>
      </w:r>
    </w:p>
    <w:p w14:paraId="391B1029">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(4</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对需要专业判断的主观评审因素协商评分；</w:t>
      </w:r>
    </w:p>
    <w:p w14:paraId="617672F1">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(5</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在评标过程中擅离职守，影响评标程序正常进行的；</w:t>
      </w:r>
    </w:p>
    <w:p w14:paraId="2D0A0079">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(6</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记录、复制或者带走任何评标资料；</w:t>
      </w:r>
    </w:p>
    <w:p w14:paraId="4163020E">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spacing w:val="-4"/>
          <w:kern w:val="0"/>
          <w:sz w:val="24"/>
          <w:szCs w:val="24"/>
        </w:rPr>
      </w:pPr>
      <w:r>
        <w:rPr>
          <w:rFonts w:hint="eastAsia" w:ascii="宋体" w:hAnsi="宋体" w:cs="宋体"/>
          <w:color w:val="auto"/>
          <w:kern w:val="0"/>
          <w:sz w:val="24"/>
          <w:szCs w:val="24"/>
        </w:rPr>
        <w:t>(7</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其他不遵守评标纪律的行为。</w:t>
      </w:r>
    </w:p>
    <w:p w14:paraId="5EBBE6C0">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w:t>
      </w:r>
      <w:r>
        <w:rPr>
          <w:rFonts w:hint="eastAsia" w:ascii="宋体" w:hAnsi="宋体" w:cs="宋体"/>
          <w:b/>
          <w:color w:val="auto"/>
          <w:kern w:val="0"/>
          <w:sz w:val="24"/>
          <w:szCs w:val="24"/>
          <w:lang w:val="en-US" w:eastAsia="zh-CN"/>
        </w:rPr>
        <w:t>8</w:t>
      </w:r>
      <w:r>
        <w:rPr>
          <w:rFonts w:hint="eastAsia" w:ascii="宋体" w:hAnsi="宋体" w:cs="宋体"/>
          <w:b/>
          <w:color w:val="auto"/>
          <w:kern w:val="0"/>
          <w:sz w:val="24"/>
          <w:szCs w:val="24"/>
        </w:rPr>
        <w:t>.保密</w:t>
      </w:r>
    </w:p>
    <w:p w14:paraId="3DEE026E">
      <w:pPr>
        <w:autoSpaceDE w:val="0"/>
        <w:autoSpaceDN w:val="0"/>
        <w:adjustRightInd w:val="0"/>
        <w:snapToGrid w:val="0"/>
        <w:spacing w:line="360" w:lineRule="auto"/>
        <w:ind w:firstLine="472" w:firstLineChars="200"/>
        <w:jc w:val="left"/>
        <w:rPr>
          <w:rFonts w:ascii="宋体" w:hAnsi="宋体" w:cs="宋体"/>
          <w:color w:val="auto"/>
          <w:spacing w:val="-2"/>
          <w:kern w:val="0"/>
          <w:sz w:val="24"/>
          <w:szCs w:val="24"/>
        </w:rPr>
      </w:pPr>
      <w:r>
        <w:rPr>
          <w:rFonts w:hint="eastAsia" w:ascii="宋体" w:hAnsi="宋体" w:cs="宋体"/>
          <w:color w:val="auto"/>
          <w:spacing w:val="-2"/>
          <w:kern w:val="0"/>
          <w:sz w:val="24"/>
          <w:szCs w:val="24"/>
        </w:rPr>
        <w:t>3</w:t>
      </w:r>
      <w:r>
        <w:rPr>
          <w:rFonts w:hint="eastAsia" w:ascii="宋体" w:hAnsi="宋体" w:cs="宋体"/>
          <w:color w:val="auto"/>
          <w:spacing w:val="-2"/>
          <w:kern w:val="0"/>
          <w:sz w:val="24"/>
          <w:szCs w:val="24"/>
          <w:lang w:val="en-US" w:eastAsia="zh-CN"/>
        </w:rPr>
        <w:t>8</w:t>
      </w:r>
      <w:r>
        <w:rPr>
          <w:rFonts w:hint="eastAsia" w:ascii="宋体" w:hAnsi="宋体" w:cs="宋体"/>
          <w:color w:val="auto"/>
          <w:spacing w:val="-2"/>
          <w:kern w:val="0"/>
          <w:sz w:val="24"/>
          <w:szCs w:val="24"/>
        </w:rPr>
        <w:t>.1评审专家应当遵守评审工作纪律，不得泄露评审文件、评审情况和评审中获悉的商业秘密。</w:t>
      </w:r>
    </w:p>
    <w:p w14:paraId="4A9864FB">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.2采购人、采购代理机构应当采取必要措施，保证评标在严格保密的情况下进行。有关人员对评标情况以及在评标过程中获悉的国家秘密、商业秘密负有保密责任。</w:t>
      </w:r>
    </w:p>
    <w:p w14:paraId="5363E3BB">
      <w:pPr>
        <w:tabs>
          <w:tab w:val="left" w:pos="1260"/>
        </w:tabs>
        <w:autoSpaceDE w:val="0"/>
        <w:autoSpaceDN w:val="0"/>
        <w:adjustRightInd w:val="0"/>
        <w:snapToGrid w:val="0"/>
        <w:spacing w:line="360" w:lineRule="auto"/>
        <w:ind w:left="600"/>
        <w:jc w:val="center"/>
        <w:rPr>
          <w:rFonts w:ascii="宋体" w:hAnsi="宋体" w:cs="宋体"/>
          <w:b/>
          <w:color w:val="auto"/>
          <w:kern w:val="0"/>
          <w:sz w:val="28"/>
          <w:szCs w:val="24"/>
        </w:rPr>
      </w:pPr>
      <w:r>
        <w:rPr>
          <w:rFonts w:hint="eastAsia" w:ascii="宋体" w:hAnsi="宋体" w:cs="宋体"/>
          <w:b/>
          <w:color w:val="auto"/>
          <w:kern w:val="0"/>
          <w:sz w:val="28"/>
          <w:szCs w:val="24"/>
        </w:rPr>
        <w:t>六、定标和授予合同</w:t>
      </w:r>
    </w:p>
    <w:p w14:paraId="56D2F8F5">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3</w:t>
      </w:r>
      <w:r>
        <w:rPr>
          <w:rFonts w:hint="eastAsia" w:ascii="宋体" w:hAnsi="宋体" w:cs="宋体"/>
          <w:b/>
          <w:color w:val="auto"/>
          <w:kern w:val="0"/>
          <w:sz w:val="24"/>
          <w:szCs w:val="24"/>
          <w:lang w:val="en-US" w:eastAsia="zh-CN"/>
        </w:rPr>
        <w:t>9</w:t>
      </w:r>
      <w:r>
        <w:rPr>
          <w:rFonts w:hint="eastAsia" w:ascii="宋体" w:hAnsi="宋体" w:cs="宋体"/>
          <w:b/>
          <w:color w:val="auto"/>
          <w:kern w:val="0"/>
          <w:sz w:val="24"/>
          <w:szCs w:val="24"/>
        </w:rPr>
        <w:t>.确定中标人</w:t>
      </w:r>
    </w:p>
    <w:p w14:paraId="32C2BDA2">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.1采购人应当自收到评审报告之日起1个工作日内，在评标报告确定的中标候选人名单中按顺序确定中标人。中标候选人并列的，由采购人采取随机抽取的方式确定。</w:t>
      </w:r>
    </w:p>
    <w:p w14:paraId="65151300">
      <w:pPr>
        <w:pStyle w:val="137"/>
        <w:autoSpaceDE w:val="0"/>
        <w:autoSpaceDN w:val="0"/>
        <w:adjustRightInd w:val="0"/>
        <w:snapToGrid w:val="0"/>
        <w:spacing w:line="360" w:lineRule="auto"/>
        <w:ind w:firstLine="480" w:firstLineChars="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.2采购人在收到评审报告之日起1个工作日内未按评标报告推荐的中标候选人顺序确定中标人，又不能说明合法理由的，视同按评标报告推荐的中标候选人顺序确定排名第一的为中标人。</w:t>
      </w:r>
    </w:p>
    <w:p w14:paraId="3AA6FCD5">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lang w:val="en-US" w:eastAsia="zh-CN"/>
        </w:rPr>
        <w:t>40</w:t>
      </w:r>
      <w:r>
        <w:rPr>
          <w:rFonts w:hint="eastAsia" w:ascii="宋体" w:hAnsi="宋体" w:cs="宋体"/>
          <w:b/>
          <w:color w:val="auto"/>
          <w:kern w:val="0"/>
          <w:sz w:val="24"/>
          <w:szCs w:val="24"/>
        </w:rPr>
        <w:t>.中标公告、发出中标通知书</w:t>
      </w:r>
    </w:p>
    <w:p w14:paraId="3671344C">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40</w:t>
      </w:r>
      <w:r>
        <w:rPr>
          <w:rFonts w:hint="eastAsia" w:ascii="宋体" w:hAnsi="宋体" w:cs="宋体"/>
          <w:color w:val="auto"/>
          <w:kern w:val="0"/>
          <w:sz w:val="24"/>
          <w:szCs w:val="24"/>
        </w:rPr>
        <w:t>.1采购人确认中标人后公告中标结果的同时，通知中标人核验投标时由信用承诺函替代的证明材料。经核验无误后，发出中标通知书。</w:t>
      </w:r>
    </w:p>
    <w:p w14:paraId="6F5216CD">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40</w:t>
      </w:r>
      <w:r>
        <w:rPr>
          <w:rFonts w:hint="eastAsia" w:ascii="宋体" w:hAnsi="宋体" w:cs="宋体"/>
          <w:color w:val="auto"/>
          <w:kern w:val="0"/>
          <w:sz w:val="24"/>
          <w:szCs w:val="24"/>
        </w:rPr>
        <w:t>.2中标通知书发出后，采购人不得违法改变中标结果，中标人无正当理由不得放弃中标。</w:t>
      </w:r>
    </w:p>
    <w:p w14:paraId="1A4A9F65">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lang w:val="en-US" w:eastAsia="zh-CN"/>
        </w:rPr>
        <w:t>41</w:t>
      </w:r>
      <w:r>
        <w:rPr>
          <w:rFonts w:hint="eastAsia" w:ascii="宋体" w:hAnsi="宋体" w:cs="宋体"/>
          <w:b/>
          <w:color w:val="auto"/>
          <w:kern w:val="0"/>
          <w:sz w:val="24"/>
          <w:szCs w:val="24"/>
        </w:rPr>
        <w:t>.质疑提出与答复</w:t>
      </w:r>
    </w:p>
    <w:p w14:paraId="6ED6D04A">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41.1供应商认为采购文件、采购过程和中标结果使自己的权益受到损害的，可以依法向采购人、采购代理机构提出质疑。提出质疑的供应商应当是参与本项目采购活动的供应商。</w:t>
      </w:r>
    </w:p>
    <w:p w14:paraId="6B10A613">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对采购文件提出质疑的，潜在投标人应已依法获取采购文件，且应当在获取采购文件或者采购文件公告期限届满之日起7个工作日内通过《全国公共资源交易平台（河南省·许昌市）》一次性提出，如未提出视为全面接受；</w:t>
      </w:r>
    </w:p>
    <w:p w14:paraId="77A389D0">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对采购过程提出质疑的，为各采购程序环节结束之日起七个工作日内，以书面形式向采购人和采购代理机构一次性提出；</w:t>
      </w:r>
    </w:p>
    <w:p w14:paraId="697F81F2">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对中标结果提出质疑的，为中标结果公告期限届满之日起七个工作日内，以书面形式向采购人和采购代理机构一次性提出。</w:t>
      </w:r>
    </w:p>
    <w:p w14:paraId="163D270C">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14:paraId="7303BF53">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对采购文件提出的质疑，依法通过澄清或者修改可以继续开展采购活动的，澄清或者修改采购文件后继续开展采购活动；否则应当修改采购文件后重新开展采购活动。</w:t>
      </w:r>
    </w:p>
    <w:p w14:paraId="2A6A9136">
      <w:pPr>
        <w:kinsoku/>
        <w:wordWrap/>
        <w:overflowPunct/>
        <w:topLinePunct w:val="0"/>
        <w:autoSpaceDE w:val="0"/>
        <w:autoSpaceDN w:val="0"/>
        <w:bidi w:val="0"/>
        <w:adjustRightInd w:val="0"/>
        <w:snapToGrid w:val="0"/>
        <w:spacing w:beforeAutospacing="0" w:afterAutospacing="0"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对采购过程、中标结果提出的质疑，合格供应商符合法定数量时，可以从合格的中标候选人中另行确定中标供应商的，应当依法另行确定中标供应商；否则应当重新开展采购活动。</w:t>
      </w:r>
    </w:p>
    <w:p w14:paraId="4F6A57F9">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4</w:t>
      </w:r>
      <w:r>
        <w:rPr>
          <w:rFonts w:hint="eastAsia" w:ascii="宋体" w:hAnsi="宋体" w:cs="宋体"/>
          <w:b/>
          <w:color w:val="auto"/>
          <w:kern w:val="0"/>
          <w:sz w:val="24"/>
          <w:szCs w:val="24"/>
          <w:lang w:val="en-US" w:eastAsia="zh-CN"/>
        </w:rPr>
        <w:t>2</w:t>
      </w:r>
      <w:r>
        <w:rPr>
          <w:rFonts w:hint="eastAsia" w:ascii="宋体" w:hAnsi="宋体" w:cs="宋体"/>
          <w:b/>
          <w:color w:val="auto"/>
          <w:kern w:val="0"/>
          <w:sz w:val="24"/>
          <w:szCs w:val="24"/>
        </w:rPr>
        <w:t>.签订合同</w:t>
      </w:r>
    </w:p>
    <w:p w14:paraId="0D304AFE">
      <w:pPr>
        <w:autoSpaceDE w:val="0"/>
        <w:autoSpaceDN w:val="0"/>
        <w:adjustRightInd w:val="0"/>
        <w:snapToGri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登陆“河南省政府采购网”进行网上备案。</w:t>
      </w:r>
    </w:p>
    <w:p w14:paraId="51D0419D">
      <w:pPr>
        <w:pStyle w:val="137"/>
        <w:autoSpaceDE w:val="0"/>
        <w:autoSpaceDN w:val="0"/>
        <w:adjustRightInd w:val="0"/>
        <w:snapToGrid w:val="0"/>
        <w:spacing w:line="360" w:lineRule="auto"/>
        <w:ind w:firstLine="0" w:firstLineChars="0"/>
        <w:jc w:val="left"/>
        <w:rPr>
          <w:rFonts w:ascii="宋体" w:hAnsi="宋体" w:cs="宋体"/>
          <w:b/>
          <w:color w:val="auto"/>
          <w:kern w:val="0"/>
          <w:sz w:val="24"/>
          <w:szCs w:val="24"/>
        </w:rPr>
      </w:pPr>
      <w:r>
        <w:rPr>
          <w:rFonts w:hint="eastAsia" w:ascii="宋体" w:hAnsi="宋体" w:cs="宋体"/>
          <w:b/>
          <w:color w:val="auto"/>
          <w:kern w:val="0"/>
          <w:sz w:val="24"/>
          <w:szCs w:val="24"/>
        </w:rPr>
        <w:t>4</w:t>
      </w:r>
      <w:r>
        <w:rPr>
          <w:rFonts w:hint="eastAsia" w:ascii="宋体" w:hAnsi="宋体" w:cs="宋体"/>
          <w:b/>
          <w:color w:val="auto"/>
          <w:kern w:val="0"/>
          <w:sz w:val="24"/>
          <w:szCs w:val="24"/>
          <w:lang w:val="en-US" w:eastAsia="zh-CN"/>
        </w:rPr>
        <w:t>3</w:t>
      </w:r>
      <w:r>
        <w:rPr>
          <w:rFonts w:hint="eastAsia" w:ascii="宋体" w:hAnsi="宋体" w:cs="宋体"/>
          <w:b/>
          <w:color w:val="auto"/>
          <w:kern w:val="0"/>
          <w:sz w:val="24"/>
          <w:szCs w:val="24"/>
        </w:rPr>
        <w:t>.履约保证金</w:t>
      </w:r>
    </w:p>
    <w:p w14:paraId="5A952DFC">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根据《许昌市建安区财政局关于加大政府采购支持中小企业力度有关事项的通知》（建安财购〔2022〕1号）要求自2022年7月1日起，全面取消政府采购履约保证金。</w:t>
      </w:r>
    </w:p>
    <w:p w14:paraId="640C9DDA">
      <w:pPr>
        <w:pStyle w:val="137"/>
        <w:autoSpaceDE w:val="0"/>
        <w:autoSpaceDN w:val="0"/>
        <w:adjustRightInd w:val="0"/>
        <w:snapToGrid w:val="0"/>
        <w:spacing w:line="360" w:lineRule="auto"/>
        <w:ind w:firstLine="0" w:firstLineChars="0"/>
        <w:rPr>
          <w:rFonts w:ascii="宋体" w:hAnsi="宋体" w:cs="宋体"/>
          <w:b/>
          <w:color w:val="auto"/>
          <w:kern w:val="0"/>
          <w:sz w:val="24"/>
          <w:szCs w:val="24"/>
        </w:rPr>
      </w:pPr>
      <w:r>
        <w:rPr>
          <w:rFonts w:hint="eastAsia" w:ascii="宋体" w:hAnsi="宋体" w:cs="宋体"/>
          <w:b/>
          <w:color w:val="auto"/>
          <w:kern w:val="0"/>
          <w:sz w:val="24"/>
          <w:szCs w:val="24"/>
        </w:rPr>
        <w:t>4</w:t>
      </w:r>
      <w:r>
        <w:rPr>
          <w:rFonts w:hint="eastAsia" w:ascii="宋体" w:hAnsi="宋体" w:cs="宋体"/>
          <w:b/>
          <w:color w:val="auto"/>
          <w:kern w:val="0"/>
          <w:sz w:val="24"/>
          <w:szCs w:val="24"/>
          <w:lang w:val="en-US" w:eastAsia="zh-CN"/>
        </w:rPr>
        <w:t>4</w:t>
      </w:r>
      <w:r>
        <w:rPr>
          <w:rFonts w:hint="eastAsia" w:ascii="宋体" w:hAnsi="宋体" w:cs="宋体"/>
          <w:b/>
          <w:color w:val="auto"/>
          <w:kern w:val="0"/>
          <w:sz w:val="24"/>
          <w:szCs w:val="24"/>
        </w:rPr>
        <w:t>. 政府采购合同融资</w:t>
      </w:r>
    </w:p>
    <w:p w14:paraId="6F0781CC">
      <w:pPr>
        <w:pStyle w:val="137"/>
        <w:autoSpaceDE w:val="0"/>
        <w:autoSpaceDN w:val="0"/>
        <w:adjustRightInd w:val="0"/>
        <w:snapToGrid w:val="0"/>
        <w:spacing w:line="360" w:lineRule="auto"/>
        <w:ind w:firstLine="0" w:firstLineChars="0"/>
        <w:rPr>
          <w:rFonts w:hint="eastAsia" w:ascii="宋体" w:hAnsi="宋体"/>
          <w:color w:val="auto"/>
          <w:sz w:val="24"/>
        </w:rPr>
      </w:pPr>
      <w:r>
        <w:rPr>
          <w:rFonts w:hint="eastAsia" w:ascii="宋体" w:hAnsi="宋体"/>
          <w:color w:val="auto"/>
          <w:sz w:val="24"/>
        </w:rPr>
        <w:t>4</w:t>
      </w:r>
      <w:r>
        <w:rPr>
          <w:rFonts w:hint="eastAsia" w:ascii="宋体" w:hAnsi="宋体"/>
          <w:color w:val="auto"/>
          <w:sz w:val="24"/>
          <w:lang w:val="en-US" w:eastAsia="zh-CN"/>
        </w:rPr>
        <w:t>4</w:t>
      </w:r>
      <w:r>
        <w:rPr>
          <w:rFonts w:hint="eastAsia" w:ascii="宋体" w:hAnsi="宋体"/>
          <w:color w:val="auto"/>
          <w:sz w:val="24"/>
        </w:rPr>
        <w:t>.1缓解中小企业融资难题</w:t>
      </w:r>
    </w:p>
    <w:p w14:paraId="1C739D53">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政府采购合同融资是支持中小微企业发展，针对参与政府采购活动的</w:t>
      </w:r>
      <w:r>
        <w:rPr>
          <w:rFonts w:hint="eastAsia" w:ascii="宋体" w:hAnsi="宋体"/>
          <w:color w:val="auto"/>
          <w:sz w:val="24"/>
          <w:lang w:eastAsia="zh-CN"/>
        </w:rPr>
        <w:t>投标人</w:t>
      </w:r>
      <w:r>
        <w:rPr>
          <w:rFonts w:hint="eastAsia" w:ascii="宋体" w:hAnsi="宋体"/>
          <w:color w:val="auto"/>
          <w:sz w:val="24"/>
        </w:rPr>
        <w:t>融资难、融资贵问题推出的一项融资政策。根据河南省财政厅《关于印发深入推进政府采购合同融资工作实施方案的通知》精神，我市目前已与以下金融机构合作开展政府采购信用融资业务，中标</w:t>
      </w:r>
      <w:r>
        <w:rPr>
          <w:rFonts w:hint="eastAsia" w:ascii="宋体" w:hAnsi="宋体"/>
          <w:color w:val="auto"/>
          <w:sz w:val="24"/>
          <w:lang w:eastAsia="zh-CN"/>
        </w:rPr>
        <w:t>投标人</w:t>
      </w:r>
      <w:r>
        <w:rPr>
          <w:rFonts w:hint="eastAsia" w:ascii="宋体" w:hAnsi="宋体"/>
          <w:color w:val="auto"/>
          <w:sz w:val="24"/>
        </w:rPr>
        <w:t>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E7D3D9C">
      <w:pPr>
        <w:pStyle w:val="137"/>
        <w:autoSpaceDE w:val="0"/>
        <w:autoSpaceDN w:val="0"/>
        <w:adjustRightInd w:val="0"/>
        <w:snapToGrid w:val="0"/>
        <w:spacing w:line="360" w:lineRule="auto"/>
        <w:ind w:firstLine="0" w:firstLineChars="0"/>
        <w:jc w:val="left"/>
        <w:rPr>
          <w:rFonts w:ascii="宋体" w:hAnsi="宋体"/>
          <w:color w:val="auto"/>
          <w:sz w:val="24"/>
        </w:rPr>
      </w:pPr>
      <w:r>
        <w:rPr>
          <w:rFonts w:hint="eastAsia" w:ascii="宋体" w:hAnsi="宋体"/>
          <w:color w:val="auto"/>
          <w:sz w:val="24"/>
        </w:rPr>
        <w:t>4</w:t>
      </w:r>
      <w:r>
        <w:rPr>
          <w:rFonts w:hint="eastAsia" w:ascii="宋体" w:hAnsi="宋体"/>
          <w:color w:val="auto"/>
          <w:sz w:val="24"/>
          <w:lang w:val="en-US" w:eastAsia="zh-CN"/>
        </w:rPr>
        <w:t>4</w:t>
      </w:r>
      <w:r>
        <w:rPr>
          <w:rFonts w:hint="eastAsia" w:ascii="宋体" w:hAnsi="宋体"/>
          <w:color w:val="auto"/>
          <w:sz w:val="24"/>
        </w:rPr>
        <w:t>.2合作金融机构（排名不分先后）</w:t>
      </w:r>
    </w:p>
    <w:p w14:paraId="25ACA511">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1）合作金融机构名称：中原银行许昌分行（小微金融部）</w:t>
      </w:r>
    </w:p>
    <w:p w14:paraId="79C4F931">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联系人及电话：陈阳 13137407575 方金龙 15836539901</w:t>
      </w:r>
    </w:p>
    <w:p w14:paraId="4AD3B34D">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地址：许昌市建安大道与紫云路交汇处中原银行</w:t>
      </w:r>
    </w:p>
    <w:p w14:paraId="38744CA4">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2）合作金融机构名称：浦发银行许昌分行</w:t>
      </w:r>
    </w:p>
    <w:p w14:paraId="4EF36449">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联系人及电话：赵勇 0374-7313569、7313502 18937459920</w:t>
      </w:r>
    </w:p>
    <w:p w14:paraId="5CAF0236">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地址：许昌市许继大道1163号许继花园</w:t>
      </w:r>
    </w:p>
    <w:p w14:paraId="051C67E7">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3）合作金融机构名称：交通银行许昌分行</w:t>
      </w:r>
    </w:p>
    <w:p w14:paraId="25D680A1">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联系人：宋纪刚 0374-2369912 13733951305</w:t>
      </w:r>
    </w:p>
    <w:p w14:paraId="56D9A412">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地址：许昌市莲城大道114号</w:t>
      </w:r>
    </w:p>
    <w:p w14:paraId="305FAFD4">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4）合作金融机构名称：光大银行许昌分行</w:t>
      </w:r>
    </w:p>
    <w:p w14:paraId="1104BC75">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联系人：李东磊 0374-2928168 18569936868</w:t>
      </w:r>
    </w:p>
    <w:p w14:paraId="263E392B">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地址：许昌市魏都区八一路文峰路交叉口西北角</w:t>
      </w:r>
    </w:p>
    <w:p w14:paraId="7D8B012C">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5）合作金融机构名称：招商银行许昌分行</w:t>
      </w:r>
    </w:p>
    <w:p w14:paraId="5C7C2411">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联系人及电话：崔星迪 0374-5376058 18839983051</w:t>
      </w:r>
    </w:p>
    <w:p w14:paraId="42003CCA">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地址：许昌市建安大道中段新天下AB座</w:t>
      </w:r>
    </w:p>
    <w:p w14:paraId="29E9CA21">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6）合作金融机构名称：邮储银行许昌市分行</w:t>
      </w:r>
    </w:p>
    <w:p w14:paraId="6B73D856">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联系人及电话：张彦峰13839001972 武松涛18839902679</w:t>
      </w:r>
    </w:p>
    <w:p w14:paraId="496647C3">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徐亚爽15038297574</w:t>
      </w:r>
    </w:p>
    <w:p w14:paraId="47DC01C7">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地址：许昌市莲城大道邮储银行莲城支行二楼</w:t>
      </w:r>
    </w:p>
    <w:p w14:paraId="5394F7C8">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7）合作金融机构名称：中国银行许昌分行35</w:t>
      </w:r>
    </w:p>
    <w:p w14:paraId="701DE3C4">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联系人及电话：白炜 13938772680 刘晓飞 0374-3338596</w:t>
      </w:r>
    </w:p>
    <w:p w14:paraId="41AA3CDC">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地址：许昌市魏都区建设路1488号</w:t>
      </w:r>
    </w:p>
    <w:p w14:paraId="3D44E250">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8）合作金融机构名称：中信银行郑州红专路支行</w:t>
      </w:r>
    </w:p>
    <w:p w14:paraId="024A7648">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联系人：韩晨 13253490679</w:t>
      </w:r>
    </w:p>
    <w:p w14:paraId="334EC51E">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地址：郑州市金水区经三路北26号中信银行郑州红专路支行</w:t>
      </w:r>
    </w:p>
    <w:p w14:paraId="75338813">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9）合作金融机构名称：郑州银行许昌分行</w:t>
      </w:r>
    </w:p>
    <w:p w14:paraId="16B6A8D5">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联系人：王晶 0374-2298011 18339062222</w:t>
      </w:r>
    </w:p>
    <w:p w14:paraId="46F7D6B6">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地址：河南省许昌市魏都区莲城大道与魏文路交叉口西南角亨通君成国际大厦</w:t>
      </w:r>
    </w:p>
    <w:p w14:paraId="7E8488DF">
      <w:pPr>
        <w:pStyle w:val="137"/>
        <w:autoSpaceDE w:val="0"/>
        <w:autoSpaceDN w:val="0"/>
        <w:adjustRightInd w:val="0"/>
        <w:snapToGrid w:val="0"/>
        <w:spacing w:line="360" w:lineRule="auto"/>
        <w:ind w:firstLine="480"/>
        <w:jc w:val="left"/>
        <w:rPr>
          <w:rFonts w:ascii="宋体" w:hAnsi="宋体"/>
          <w:color w:val="auto"/>
          <w:sz w:val="24"/>
        </w:rPr>
      </w:pPr>
      <w:r>
        <w:rPr>
          <w:rFonts w:hint="eastAsia" w:ascii="宋体" w:hAnsi="宋体"/>
          <w:color w:val="auto"/>
          <w:sz w:val="24"/>
        </w:rPr>
        <w:t>44.3 “许昌市政府采购合同融资金融产品推介名录”链接</w:t>
      </w:r>
    </w:p>
    <w:p w14:paraId="1AACF51B">
      <w:pPr>
        <w:pStyle w:val="137"/>
        <w:autoSpaceDE w:val="0"/>
        <w:autoSpaceDN w:val="0"/>
        <w:adjustRightInd w:val="0"/>
        <w:snapToGrid w:val="0"/>
        <w:spacing w:line="360" w:lineRule="auto"/>
        <w:ind w:firstLine="480"/>
        <w:jc w:val="left"/>
        <w:rPr>
          <w:rFonts w:ascii="宋体" w:hAnsi="宋体" w:cs="宋体"/>
          <w:color w:val="auto"/>
          <w:kern w:val="0"/>
          <w:sz w:val="22"/>
        </w:rPr>
      </w:pPr>
      <w:r>
        <w:rPr>
          <w:rFonts w:hint="eastAsia" w:ascii="宋体" w:hAnsi="宋体"/>
          <w:color w:val="auto"/>
          <w:sz w:val="24"/>
        </w:rPr>
        <w:t>http://xuchang.hngp.gov.cn/xuchang/content?infoId=1606365368231095&amp;channelCode=H711001</w:t>
      </w:r>
    </w:p>
    <w:p w14:paraId="4E39EB07">
      <w:pPr>
        <w:spacing w:line="360" w:lineRule="auto"/>
        <w:jc w:val="left"/>
        <w:rPr>
          <w:color w:val="auto"/>
          <w:sz w:val="24"/>
          <w:szCs w:val="24"/>
        </w:rPr>
      </w:pPr>
      <w:r>
        <w:rPr>
          <w:rFonts w:hint="eastAsia" w:ascii="宋体" w:hAnsi="宋体" w:cs="宋体"/>
          <w:b/>
          <w:bCs/>
          <w:color w:val="auto"/>
          <w:kern w:val="0"/>
          <w:sz w:val="24"/>
          <w:szCs w:val="24"/>
          <w:lang w:bidi="ar"/>
        </w:rPr>
        <w:t>4</w:t>
      </w:r>
      <w:r>
        <w:rPr>
          <w:rFonts w:hint="eastAsia" w:ascii="宋体" w:hAnsi="宋体" w:cs="宋体"/>
          <w:b/>
          <w:bCs/>
          <w:color w:val="auto"/>
          <w:kern w:val="0"/>
          <w:sz w:val="24"/>
          <w:szCs w:val="24"/>
          <w:lang w:val="en-US" w:eastAsia="zh-CN" w:bidi="ar"/>
        </w:rPr>
        <w:t>5</w:t>
      </w:r>
      <w:r>
        <w:rPr>
          <w:rFonts w:hint="eastAsia" w:ascii="宋体" w:hAnsi="宋体" w:cs="宋体"/>
          <w:b/>
          <w:bCs/>
          <w:color w:val="auto"/>
          <w:kern w:val="0"/>
          <w:sz w:val="24"/>
          <w:szCs w:val="24"/>
          <w:lang w:bidi="ar"/>
        </w:rPr>
        <w:t>. 其他</w:t>
      </w:r>
    </w:p>
    <w:p w14:paraId="37CFF327">
      <w:pPr>
        <w:pStyle w:val="137"/>
        <w:autoSpaceDE w:val="0"/>
        <w:autoSpaceDN w:val="0"/>
        <w:adjustRightInd w:val="0"/>
        <w:snapToGrid w:val="0"/>
        <w:spacing w:line="360" w:lineRule="auto"/>
        <w:ind w:firstLine="0" w:firstLineChars="0"/>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4"/>
          <w:szCs w:val="24"/>
          <w:lang w:bidi="ar"/>
        </w:rPr>
        <w:t>本次招标文件未尽事项，以法律法规规定的为准</w:t>
      </w:r>
      <w:r>
        <w:rPr>
          <w:rFonts w:hint="eastAsia" w:ascii="宋体" w:hAnsi="宋体" w:cs="宋体"/>
          <w:color w:val="auto"/>
          <w:kern w:val="0"/>
          <w:sz w:val="24"/>
          <w:szCs w:val="24"/>
          <w:lang w:eastAsia="zh-CN" w:bidi="ar"/>
        </w:rPr>
        <w:t>。</w:t>
      </w:r>
    </w:p>
    <w:p w14:paraId="0A25EC7D">
      <w:pPr>
        <w:pStyle w:val="3"/>
        <w:rPr>
          <w:rFonts w:hint="default"/>
          <w:color w:val="auto"/>
        </w:rPr>
      </w:pPr>
    </w:p>
    <w:p w14:paraId="411B4038">
      <w:pPr>
        <w:pageBreakBefore/>
        <w:ind w:firstLine="2168" w:firstLineChars="600"/>
        <w:jc w:val="both"/>
        <w:outlineLvl w:val="0"/>
        <w:rPr>
          <w:rFonts w:ascii="宋体" w:hAnsi="宋体" w:cs="宋体"/>
          <w:b/>
          <w:color w:val="auto"/>
          <w:sz w:val="36"/>
          <w:szCs w:val="36"/>
        </w:rPr>
      </w:pPr>
      <w:r>
        <w:rPr>
          <w:rFonts w:hint="eastAsia" w:ascii="宋体" w:hAnsi="宋体" w:cs="宋体"/>
          <w:b/>
          <w:color w:val="auto"/>
          <w:sz w:val="36"/>
          <w:szCs w:val="36"/>
        </w:rPr>
        <w:t>第五章 政府采购政策功能</w:t>
      </w:r>
    </w:p>
    <w:p w14:paraId="6999F959">
      <w:pPr>
        <w:rPr>
          <w:rFonts w:ascii="宋体" w:hAnsi="宋体" w:cs="宋体"/>
          <w:b/>
          <w:color w:val="auto"/>
          <w:kern w:val="0"/>
          <w:sz w:val="36"/>
          <w:szCs w:val="36"/>
        </w:rPr>
      </w:pPr>
    </w:p>
    <w:p w14:paraId="4D57860E">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根据《中华人民共和国政府采购法》、《中华人民共和国政府采购法实施条例》、《政府采购货物和服务招标投标管理办法》等规定，</w:t>
      </w:r>
      <w:r>
        <w:rPr>
          <w:rFonts w:hint="eastAsia" w:ascii="宋体" w:hAnsi="宋体" w:cs="宋体"/>
          <w:color w:val="auto"/>
          <w:sz w:val="24"/>
          <w:szCs w:val="21"/>
          <w:lang w:val="zh-CN"/>
        </w:rPr>
        <w:t>政府采购项目应落实节约能源、保护环境、促进中小企业发展、支持监狱企业发展、促进残疾人就业、支持脱贫攻坚等政府采购政策。</w:t>
      </w:r>
    </w:p>
    <w:p w14:paraId="65982314">
      <w:pPr>
        <w:pStyle w:val="24"/>
        <w:spacing w:line="360" w:lineRule="auto"/>
        <w:ind w:firstLine="482" w:firstLineChars="200"/>
        <w:contextualSpacing/>
        <w:jc w:val="left"/>
        <w:rPr>
          <w:rFonts w:ascii="宋体" w:hAnsi="宋体" w:cs="宋体"/>
          <w:b/>
          <w:color w:val="auto"/>
          <w:sz w:val="24"/>
          <w:lang w:val="zh-CN"/>
        </w:rPr>
      </w:pPr>
      <w:r>
        <w:rPr>
          <w:rFonts w:hint="eastAsia" w:ascii="宋体" w:hAnsi="宋体" w:cs="宋体"/>
          <w:b/>
          <w:color w:val="auto"/>
          <w:sz w:val="24"/>
          <w:lang w:val="zh-CN"/>
        </w:rPr>
        <w:t>一、节能能源、保护环境</w:t>
      </w:r>
    </w:p>
    <w:p w14:paraId="3DE02E2E">
      <w:pPr>
        <w:spacing w:line="360" w:lineRule="auto"/>
        <w:ind w:firstLine="470" w:firstLineChars="196"/>
        <w:contextualSpacing/>
        <w:jc w:val="left"/>
        <w:rPr>
          <w:rFonts w:ascii="宋体" w:hAnsi="宋体" w:cs="宋体"/>
          <w:b/>
          <w:bCs/>
          <w:color w:val="auto"/>
          <w:sz w:val="24"/>
          <w:szCs w:val="21"/>
        </w:rPr>
      </w:pPr>
      <w:r>
        <w:rPr>
          <w:rFonts w:hint="eastAsia" w:ascii="宋体" w:hAnsi="宋体" w:cs="宋体"/>
          <w:color w:val="auto"/>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color w:val="auto"/>
          <w:sz w:val="24"/>
          <w:szCs w:val="21"/>
        </w:rPr>
        <w:t>财政部、生态环境部</w:t>
      </w:r>
      <w:r>
        <w:rPr>
          <w:rFonts w:hint="eastAsia" w:ascii="宋体" w:hAnsi="宋体" w:cs="宋体"/>
          <w:color w:val="auto"/>
          <w:sz w:val="24"/>
          <w:szCs w:val="21"/>
          <w:lang w:val="zh-CN"/>
        </w:rPr>
        <w:t>《关于印发环境标志产品政府采购品目清单的通知》</w:t>
      </w:r>
      <w:r>
        <w:rPr>
          <w:rFonts w:hint="eastAsia" w:ascii="宋体" w:hAnsi="宋体" w:cs="宋体"/>
          <w:color w:val="auto"/>
          <w:sz w:val="24"/>
          <w:szCs w:val="21"/>
        </w:rPr>
        <w:t>（财库[2019]18号）以及</w:t>
      </w:r>
      <w:r>
        <w:rPr>
          <w:rFonts w:hint="eastAsia" w:ascii="宋体" w:hAnsi="宋体" w:cs="宋体"/>
          <w:color w:val="auto"/>
          <w:sz w:val="24"/>
          <w:szCs w:val="21"/>
          <w:lang w:val="zh-CN"/>
        </w:rPr>
        <w:t>财政部、发展改革委</w:t>
      </w:r>
      <w:r>
        <w:rPr>
          <w:rFonts w:hint="eastAsia" w:ascii="宋体" w:hAnsi="宋体" w:cs="宋体"/>
          <w:color w:val="auto"/>
          <w:sz w:val="24"/>
          <w:szCs w:val="21"/>
        </w:rPr>
        <w:t>《关于印发节能产品政府采购品目清单的通知》（财库[2019]19号）</w:t>
      </w:r>
      <w:r>
        <w:rPr>
          <w:rFonts w:hint="eastAsia" w:ascii="宋体" w:hAnsi="宋体" w:cs="宋体"/>
          <w:color w:val="auto"/>
          <w:sz w:val="24"/>
          <w:szCs w:val="21"/>
          <w:lang w:val="zh-CN"/>
        </w:rPr>
        <w:t>，</w:t>
      </w:r>
      <w:r>
        <w:rPr>
          <w:rFonts w:hint="eastAsia" w:ascii="宋体" w:hAnsi="宋体" w:cs="宋体"/>
          <w:color w:val="auto"/>
          <w:sz w:val="24"/>
          <w:szCs w:val="21"/>
        </w:rPr>
        <w:t>采购属于政府强</w:t>
      </w:r>
      <w:r>
        <w:rPr>
          <w:rFonts w:hint="eastAsia" w:ascii="宋体" w:hAnsi="宋体" w:cs="宋体"/>
          <w:color w:val="auto"/>
          <w:sz w:val="24"/>
          <w:szCs w:val="21"/>
          <w:lang w:val="zh-CN"/>
        </w:rPr>
        <w:t>制采购产品类别的，该产品必须具有国家确定的认证机构出具的、处于有效期之内的节能产品认证证书；采购属于政府优先采购产品类别的，该产品具有国家确定的认证机构出具的、处于有效期之内的节能产品、环境标志产品认证证书，应当优先采购。</w:t>
      </w:r>
    </w:p>
    <w:p w14:paraId="62F5B6AA">
      <w:pPr>
        <w:pStyle w:val="24"/>
        <w:spacing w:line="360" w:lineRule="auto"/>
        <w:ind w:firstLine="482" w:firstLineChars="200"/>
        <w:contextualSpacing/>
        <w:jc w:val="left"/>
        <w:rPr>
          <w:rFonts w:ascii="宋体" w:hAnsi="宋体" w:cs="宋体"/>
          <w:b/>
          <w:color w:val="auto"/>
          <w:sz w:val="24"/>
          <w:lang w:val="zh-CN"/>
        </w:rPr>
      </w:pPr>
      <w:r>
        <w:rPr>
          <w:rFonts w:hint="eastAsia" w:ascii="宋体" w:hAnsi="宋体" w:cs="宋体"/>
          <w:b/>
          <w:color w:val="auto"/>
          <w:sz w:val="24"/>
          <w:lang w:val="zh-CN"/>
        </w:rPr>
        <w:t>二、促进中小企业发展（不含民办非企业）</w:t>
      </w:r>
    </w:p>
    <w:p w14:paraId="2C489A37">
      <w:pPr>
        <w:spacing w:line="360" w:lineRule="auto"/>
        <w:ind w:firstLine="470" w:firstLineChars="196"/>
        <w:contextualSpacing/>
        <w:jc w:val="left"/>
        <w:rPr>
          <w:rFonts w:hint="eastAsia" w:ascii="宋体" w:hAnsi="宋体" w:cs="宋体"/>
          <w:color w:val="auto"/>
          <w:sz w:val="24"/>
          <w:szCs w:val="21"/>
          <w:lang w:val="zh-CN"/>
        </w:rPr>
      </w:pPr>
      <w:r>
        <w:rPr>
          <w:rFonts w:hint="eastAsia" w:ascii="宋体" w:hAnsi="宋体" w:cs="宋体"/>
          <w:color w:val="auto"/>
          <w:sz w:val="24"/>
          <w:szCs w:val="21"/>
          <w:lang w:val="zh-CN"/>
        </w:rPr>
        <w:t>（一）专门面向中小企业预留采购份额</w:t>
      </w:r>
    </w:p>
    <w:p w14:paraId="527A3A0E">
      <w:pPr>
        <w:spacing w:line="360" w:lineRule="auto"/>
        <w:ind w:firstLine="470" w:firstLineChars="196"/>
        <w:contextualSpacing/>
        <w:jc w:val="left"/>
        <w:rPr>
          <w:rFonts w:hint="eastAsia" w:ascii="宋体" w:hAnsi="宋体" w:cs="宋体"/>
          <w:color w:val="auto"/>
          <w:sz w:val="24"/>
          <w:szCs w:val="21"/>
          <w:lang w:val="zh-CN"/>
        </w:rPr>
      </w:pPr>
      <w:r>
        <w:rPr>
          <w:rFonts w:hint="eastAsia" w:ascii="宋体" w:hAnsi="宋体" w:cs="宋体"/>
          <w:color w:val="auto"/>
          <w:sz w:val="24"/>
          <w:szCs w:val="21"/>
          <w:lang w:val="zh-CN"/>
        </w:rPr>
        <w:t>（二）非专门面向中小企业预留采购份额</w:t>
      </w:r>
    </w:p>
    <w:p w14:paraId="07B6DD93">
      <w:pPr>
        <w:spacing w:line="360" w:lineRule="auto"/>
        <w:ind w:firstLine="470" w:firstLineChars="196"/>
        <w:contextualSpacing/>
        <w:jc w:val="left"/>
        <w:rPr>
          <w:rFonts w:hint="eastAsia" w:ascii="宋体" w:hAnsi="宋体" w:cs="宋体"/>
          <w:color w:val="auto"/>
          <w:sz w:val="24"/>
          <w:szCs w:val="21"/>
          <w:lang w:val="zh-CN"/>
        </w:rPr>
      </w:pPr>
      <w:r>
        <w:rPr>
          <w:rFonts w:hint="eastAsia" w:ascii="宋体" w:hAnsi="宋体" w:cs="宋体"/>
          <w:color w:val="auto"/>
          <w:sz w:val="24"/>
          <w:szCs w:val="21"/>
          <w:lang w:val="zh-CN"/>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3B713348">
      <w:pPr>
        <w:spacing w:line="360" w:lineRule="auto"/>
        <w:ind w:firstLine="470" w:firstLineChars="196"/>
        <w:contextualSpacing/>
        <w:jc w:val="left"/>
        <w:rPr>
          <w:rFonts w:hint="eastAsia" w:ascii="宋体" w:hAnsi="宋体" w:cs="宋体"/>
          <w:color w:val="auto"/>
          <w:sz w:val="24"/>
          <w:szCs w:val="21"/>
          <w:lang w:val="zh-CN"/>
        </w:rPr>
      </w:pPr>
      <w:r>
        <w:rPr>
          <w:rFonts w:hint="eastAsia" w:ascii="宋体" w:hAnsi="宋体" w:cs="宋体"/>
          <w:color w:val="auto"/>
          <w:sz w:val="24"/>
          <w:szCs w:val="21"/>
          <w:lang w:val="zh-CN"/>
        </w:rPr>
        <w:t>2、在货物采购项目中，</w:t>
      </w:r>
      <w:r>
        <w:rPr>
          <w:rFonts w:hint="eastAsia" w:ascii="宋体" w:hAnsi="宋体" w:cs="宋体"/>
          <w:color w:val="auto"/>
          <w:kern w:val="0"/>
          <w:sz w:val="24"/>
          <w:szCs w:val="24"/>
          <w:lang w:val="en-US" w:eastAsia="zh-CN"/>
        </w:rPr>
        <w:t>供应商</w:t>
      </w:r>
      <w:r>
        <w:rPr>
          <w:rFonts w:hint="eastAsia" w:ascii="宋体" w:hAnsi="宋体" w:cs="宋体"/>
          <w:color w:val="auto"/>
          <w:sz w:val="24"/>
          <w:szCs w:val="21"/>
          <w:lang w:val="zh-CN"/>
        </w:rPr>
        <w:t>提供的货物既有中小企业制造货物，也有大型企业制造货物的，不享受《政府采购促进中小企业发展管理办法》（财库[2020]46号）规定的中小企业扶持政策。</w:t>
      </w:r>
    </w:p>
    <w:p w14:paraId="12954CFA">
      <w:pPr>
        <w:spacing w:line="360" w:lineRule="auto"/>
        <w:ind w:firstLine="470" w:firstLineChars="196"/>
        <w:contextualSpacing/>
        <w:jc w:val="left"/>
        <w:rPr>
          <w:rFonts w:hint="eastAsia" w:ascii="宋体" w:hAnsi="宋体" w:cs="宋体"/>
          <w:color w:val="auto"/>
          <w:sz w:val="24"/>
          <w:szCs w:val="21"/>
          <w:lang w:val="zh-CN"/>
        </w:rPr>
      </w:pPr>
      <w:r>
        <w:rPr>
          <w:rFonts w:hint="eastAsia" w:ascii="宋体" w:hAnsi="宋体" w:cs="宋体"/>
          <w:color w:val="auto"/>
          <w:sz w:val="24"/>
          <w:szCs w:val="21"/>
          <w:lang w:val="zh-CN"/>
        </w:rPr>
        <w:t>3、以联合体形式参加政府采购活动，联合体各方均为中小企业的，联合体视同中小企业。其中，联合体各方均为小微企业的，联合体视同小微企业。</w:t>
      </w:r>
    </w:p>
    <w:p w14:paraId="62006C7E">
      <w:pPr>
        <w:spacing w:line="360" w:lineRule="auto"/>
        <w:ind w:firstLine="470" w:firstLineChars="196"/>
        <w:contextualSpacing/>
        <w:jc w:val="left"/>
        <w:rPr>
          <w:rFonts w:hint="eastAsia" w:ascii="宋体" w:hAnsi="宋体" w:cs="宋体"/>
          <w:color w:val="auto"/>
          <w:sz w:val="24"/>
          <w:szCs w:val="21"/>
          <w:lang w:val="zh-CN"/>
        </w:rPr>
      </w:pPr>
      <w:r>
        <w:rPr>
          <w:rFonts w:hint="eastAsia" w:ascii="宋体" w:hAnsi="宋体" w:cs="宋体"/>
          <w:color w:val="auto"/>
          <w:sz w:val="24"/>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F93D777">
      <w:pPr>
        <w:spacing w:line="360" w:lineRule="auto"/>
        <w:ind w:firstLine="470" w:firstLineChars="196"/>
        <w:contextualSpacing/>
        <w:jc w:val="left"/>
        <w:rPr>
          <w:rFonts w:hint="eastAsia" w:ascii="宋体" w:hAnsi="宋体" w:cs="宋体"/>
          <w:color w:val="auto"/>
          <w:sz w:val="24"/>
          <w:szCs w:val="21"/>
          <w:lang w:val="zh-CN"/>
        </w:rPr>
      </w:pPr>
      <w:r>
        <w:rPr>
          <w:rFonts w:hint="eastAsia" w:ascii="宋体" w:hAnsi="宋体" w:cs="宋体"/>
          <w:color w:val="auto"/>
          <w:sz w:val="24"/>
          <w:szCs w:val="21"/>
          <w:lang w:val="zh-CN"/>
        </w:rPr>
        <w:t>5、按照本次采购标的所属行业的划型标准，符合条件的中小企业应按照招标文件格式要求提供《中小企业声明函》，否则不得享受相关中小企业扶持政策。</w:t>
      </w:r>
    </w:p>
    <w:p w14:paraId="1E5DD730">
      <w:pPr>
        <w:topLinePunct/>
        <w:spacing w:line="360" w:lineRule="auto"/>
        <w:ind w:firstLine="482" w:firstLineChars="200"/>
        <w:contextualSpacing/>
        <w:jc w:val="left"/>
        <w:rPr>
          <w:rFonts w:ascii="宋体" w:hAnsi="宋体" w:cs="宋体"/>
          <w:color w:val="auto"/>
          <w:sz w:val="24"/>
        </w:rPr>
      </w:pPr>
      <w:r>
        <w:rPr>
          <w:rFonts w:hint="eastAsia" w:ascii="宋体" w:hAnsi="宋体" w:cs="宋体"/>
          <w:b/>
          <w:bCs/>
          <w:color w:val="auto"/>
          <w:sz w:val="24"/>
        </w:rPr>
        <w:t>三、支持监狱企业发展</w:t>
      </w:r>
    </w:p>
    <w:p w14:paraId="182028D0">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按照财政部、司法部发布的《关于政府采购支持监狱企业发展有关问题的通知》（</w:t>
      </w:r>
      <w:bookmarkStart w:id="23" w:name="OLE_LINK6"/>
      <w:r>
        <w:rPr>
          <w:rFonts w:hint="eastAsia" w:ascii="宋体" w:hAnsi="宋体" w:cs="宋体"/>
          <w:color w:val="auto"/>
          <w:sz w:val="24"/>
        </w:rPr>
        <w:t>财库[2014]68号</w:t>
      </w:r>
      <w:bookmarkEnd w:id="23"/>
      <w:r>
        <w:rPr>
          <w:rFonts w:hint="eastAsia" w:ascii="宋体" w:hAnsi="宋体" w:cs="宋体"/>
          <w:color w:val="auto"/>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AB53422">
      <w:pPr>
        <w:spacing w:line="360" w:lineRule="auto"/>
        <w:ind w:firstLine="482" w:firstLineChars="200"/>
        <w:contextualSpacing/>
        <w:jc w:val="left"/>
        <w:rPr>
          <w:rFonts w:ascii="宋体" w:hAnsi="宋体" w:cs="宋体"/>
          <w:b/>
          <w:bCs/>
          <w:color w:val="auto"/>
          <w:sz w:val="24"/>
        </w:rPr>
      </w:pPr>
      <w:r>
        <w:rPr>
          <w:rFonts w:hint="eastAsia" w:ascii="宋体" w:hAnsi="宋体" w:cs="宋体"/>
          <w:b/>
          <w:bCs/>
          <w:color w:val="auto"/>
          <w:sz w:val="24"/>
        </w:rPr>
        <w:t>四、促进残疾人就业</w:t>
      </w:r>
    </w:p>
    <w:p w14:paraId="7B5CE461">
      <w:pPr>
        <w:pStyle w:val="24"/>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14:paraId="036B3F4D">
      <w:pPr>
        <w:pStyle w:val="24"/>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A26FA3B">
      <w:pPr>
        <w:pStyle w:val="24"/>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3、中标人为残疾人福利性单位的，采购人应当随中标结果同时公告其《残疾人福利性单位声明函》，接受社会监督。</w:t>
      </w:r>
    </w:p>
    <w:p w14:paraId="440EE012">
      <w:pPr>
        <w:widowControl/>
        <w:jc w:val="center"/>
        <w:outlineLvl w:val="0"/>
        <w:rPr>
          <w:rFonts w:ascii="宋体" w:hAnsi="宋体" w:cs="宋体"/>
          <w:b/>
          <w:color w:val="auto"/>
          <w:sz w:val="36"/>
          <w:szCs w:val="36"/>
        </w:rPr>
      </w:pPr>
      <w:r>
        <w:rPr>
          <w:rFonts w:ascii="宋体" w:hAnsi="宋体"/>
          <w:b/>
          <w:color w:val="auto"/>
          <w:sz w:val="36"/>
          <w:szCs w:val="36"/>
        </w:rPr>
        <w:br w:type="page"/>
      </w:r>
      <w:r>
        <w:rPr>
          <w:rFonts w:hint="eastAsia" w:ascii="宋体" w:hAnsi="宋体" w:cs="宋体"/>
          <w:b/>
          <w:color w:val="auto"/>
          <w:sz w:val="36"/>
          <w:szCs w:val="36"/>
        </w:rPr>
        <w:t>第六章 资格审查与评标</w:t>
      </w:r>
    </w:p>
    <w:p w14:paraId="7A0760A8">
      <w:pPr>
        <w:pStyle w:val="24"/>
        <w:spacing w:line="360" w:lineRule="auto"/>
        <w:ind w:firstLine="211"/>
        <w:contextualSpacing/>
        <w:rPr>
          <w:rFonts w:ascii="宋体" w:hAnsi="宋体" w:cs="仿宋_GB2312"/>
          <w:b/>
          <w:color w:val="auto"/>
          <w:lang w:val="zh-CN"/>
        </w:rPr>
      </w:pPr>
      <w:r>
        <w:rPr>
          <w:rFonts w:ascii="宋体" w:hAnsi="宋体" w:cs="仿宋_GB2312"/>
          <w:b/>
          <w:color w:val="auto"/>
          <w:lang w:val="zh-CN"/>
        </w:rPr>
        <w:t>一、资格审查</w:t>
      </w:r>
    </w:p>
    <w:p w14:paraId="161713E1">
      <w:pPr>
        <w:pStyle w:val="24"/>
        <w:spacing w:line="360" w:lineRule="auto"/>
        <w:ind w:firstLine="420" w:firstLineChars="200"/>
        <w:contextualSpacing/>
        <w:rPr>
          <w:rFonts w:ascii="宋体" w:hAnsi="宋体" w:cs="仿宋_GB2312"/>
          <w:color w:val="auto"/>
          <w:lang w:val="zh-CN"/>
        </w:rPr>
      </w:pPr>
      <w:r>
        <w:rPr>
          <w:rFonts w:hint="eastAsia" w:ascii="宋体" w:hAnsi="宋体" w:cs="仿宋_GB2312"/>
          <w:color w:val="auto"/>
          <w:lang w:val="zh-CN"/>
        </w:rPr>
        <w:t>（一）</w:t>
      </w:r>
      <w:r>
        <w:rPr>
          <w:rFonts w:ascii="宋体" w:hAnsi="宋体" w:cs="仿宋_GB2312"/>
          <w:color w:val="auto"/>
          <w:lang w:val="zh-CN"/>
        </w:rPr>
        <w:t>开标结束后，</w:t>
      </w:r>
      <w:r>
        <w:rPr>
          <w:rFonts w:hint="eastAsia" w:ascii="宋体" w:hAnsi="宋体" w:cs="仿宋_GB2312"/>
          <w:color w:val="auto"/>
          <w:lang w:val="zh-CN"/>
        </w:rPr>
        <w:t>采购人（采购代理机构）依法对投标人资格进行审查</w:t>
      </w:r>
      <w:r>
        <w:rPr>
          <w:rFonts w:ascii="宋体" w:hAnsi="宋体" w:cs="仿宋_GB2312"/>
          <w:color w:val="auto"/>
          <w:lang w:val="zh-CN"/>
        </w:rPr>
        <w:t>。</w:t>
      </w:r>
      <w:r>
        <w:rPr>
          <w:rFonts w:hint="eastAsia" w:ascii="宋体" w:hAnsi="宋体" w:cs="仿宋_GB2312"/>
          <w:color w:val="auto"/>
          <w:lang w:val="zh-CN"/>
        </w:rPr>
        <w:t>确定符合资格的投标人不少于3 家的，将组织评标委员会进行评标。</w:t>
      </w:r>
      <w:r>
        <w:rPr>
          <w:rFonts w:hint="eastAsia" w:ascii="宋体" w:hAnsi="宋体" w:cs="仿宋_GB2312"/>
          <w:color w:val="auto"/>
          <w:lang w:val="zh-CN"/>
        </w:rPr>
        <w:cr/>
      </w:r>
      <w:r>
        <w:rPr>
          <w:rFonts w:hint="eastAsia" w:ascii="宋体" w:hAnsi="宋体" w:cs="仿宋_GB2312"/>
          <w:color w:val="auto"/>
          <w:lang w:val="zh-CN"/>
        </w:rPr>
        <w:t xml:space="preserve">    （二）资格证明材料（本栏所列内容为本项目的资格审查条件，如有一项不符合要求，则不能进入下一步评审）。</w:t>
      </w:r>
    </w:p>
    <w:p w14:paraId="06A5E4D9">
      <w:pPr>
        <w:spacing w:line="360" w:lineRule="auto"/>
        <w:ind w:right="420" w:rightChars="200" w:firstLine="420" w:firstLineChars="200"/>
        <w:contextualSpacing/>
        <w:rPr>
          <w:rFonts w:ascii="宋体" w:hAnsi="宋体" w:cs="仿宋_GB2312"/>
          <w:color w:val="auto"/>
          <w:szCs w:val="21"/>
          <w:lang w:val="zh-CN"/>
        </w:rPr>
      </w:pPr>
      <w:r>
        <w:rPr>
          <w:rFonts w:hint="eastAsia" w:ascii="宋体" w:hAnsi="宋体" w:cs="仿宋_GB2312"/>
          <w:color w:val="auto"/>
          <w:szCs w:val="21"/>
          <w:lang w:val="zh-CN"/>
        </w:rPr>
        <w:t>（三）资格审查中所涉及到的证书及材料，均须在电子投标文件中提供原件扫描件（或图片）。</w:t>
      </w:r>
    </w:p>
    <w:tbl>
      <w:tblPr>
        <w:tblStyle w:val="4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29"/>
        <w:gridCol w:w="5835"/>
      </w:tblGrid>
      <w:tr w14:paraId="7E12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7C73F7A4">
            <w:pPr>
              <w:spacing w:line="400" w:lineRule="exact"/>
              <w:jc w:val="center"/>
              <w:rPr>
                <w:rFonts w:hint="eastAsia" w:ascii="宋体" w:hAnsi="宋体"/>
                <w:b/>
                <w:color w:val="auto"/>
                <w:szCs w:val="21"/>
              </w:rPr>
            </w:pPr>
            <w:r>
              <w:rPr>
                <w:rFonts w:hint="eastAsia" w:ascii="宋体" w:hAnsi="宋体"/>
                <w:b/>
                <w:color w:val="auto"/>
                <w:szCs w:val="21"/>
              </w:rPr>
              <w:t>序号</w:t>
            </w:r>
          </w:p>
        </w:tc>
        <w:tc>
          <w:tcPr>
            <w:tcW w:w="2529" w:type="dxa"/>
            <w:noWrap w:val="0"/>
            <w:vAlign w:val="center"/>
          </w:tcPr>
          <w:p w14:paraId="17557411">
            <w:pPr>
              <w:spacing w:line="400" w:lineRule="exact"/>
              <w:jc w:val="center"/>
              <w:rPr>
                <w:rFonts w:hint="eastAsia" w:ascii="宋体" w:hAnsi="宋体"/>
                <w:b/>
                <w:color w:val="auto"/>
                <w:szCs w:val="21"/>
              </w:rPr>
            </w:pPr>
            <w:r>
              <w:rPr>
                <w:rFonts w:hint="eastAsia" w:ascii="宋体" w:hAnsi="宋体"/>
                <w:b/>
                <w:color w:val="auto"/>
                <w:szCs w:val="21"/>
              </w:rPr>
              <w:t>资格审查因素</w:t>
            </w:r>
          </w:p>
        </w:tc>
        <w:tc>
          <w:tcPr>
            <w:tcW w:w="5835" w:type="dxa"/>
            <w:noWrap w:val="0"/>
            <w:vAlign w:val="center"/>
          </w:tcPr>
          <w:p w14:paraId="25DDD59C">
            <w:pPr>
              <w:spacing w:line="360" w:lineRule="auto"/>
              <w:jc w:val="center"/>
              <w:rPr>
                <w:rFonts w:ascii="宋体" w:hAnsi="宋体"/>
                <w:b/>
                <w:color w:val="auto"/>
                <w:sz w:val="24"/>
                <w:szCs w:val="24"/>
              </w:rPr>
            </w:pPr>
            <w:r>
              <w:rPr>
                <w:rFonts w:hint="eastAsia" w:ascii="宋体" w:hAnsi="宋体"/>
                <w:b/>
                <w:color w:val="auto"/>
                <w:sz w:val="24"/>
                <w:szCs w:val="24"/>
              </w:rPr>
              <w:t>说明与要求</w:t>
            </w:r>
          </w:p>
        </w:tc>
      </w:tr>
      <w:tr w14:paraId="5B00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0869E2DF">
            <w:pPr>
              <w:spacing w:line="400" w:lineRule="exact"/>
              <w:jc w:val="center"/>
              <w:rPr>
                <w:rFonts w:hint="eastAsia" w:ascii="宋体" w:hAnsi="宋体"/>
                <w:b/>
                <w:color w:val="auto"/>
                <w:szCs w:val="21"/>
              </w:rPr>
            </w:pPr>
            <w:r>
              <w:rPr>
                <w:rFonts w:hint="eastAsia" w:ascii="宋体" w:hAnsi="宋体"/>
                <w:b/>
                <w:color w:val="auto"/>
                <w:szCs w:val="21"/>
              </w:rPr>
              <w:t>1</w:t>
            </w:r>
          </w:p>
        </w:tc>
        <w:tc>
          <w:tcPr>
            <w:tcW w:w="2529" w:type="dxa"/>
            <w:noWrap w:val="0"/>
            <w:vAlign w:val="center"/>
          </w:tcPr>
          <w:p w14:paraId="7C122CF9">
            <w:pPr>
              <w:spacing w:line="400" w:lineRule="exact"/>
              <w:jc w:val="center"/>
              <w:rPr>
                <w:rFonts w:hint="eastAsia" w:ascii="宋体" w:hAnsi="宋体"/>
                <w:b/>
                <w:color w:val="auto"/>
                <w:szCs w:val="21"/>
              </w:rPr>
            </w:pPr>
            <w:r>
              <w:rPr>
                <w:rFonts w:hint="eastAsia" w:ascii="宋体" w:hAnsi="宋体"/>
                <w:b/>
                <w:color w:val="auto"/>
                <w:szCs w:val="21"/>
              </w:rPr>
              <w:t>投标函</w:t>
            </w:r>
          </w:p>
        </w:tc>
        <w:tc>
          <w:tcPr>
            <w:tcW w:w="5835" w:type="dxa"/>
            <w:noWrap w:val="0"/>
            <w:vAlign w:val="center"/>
          </w:tcPr>
          <w:p w14:paraId="612A1FDD">
            <w:pPr>
              <w:spacing w:line="400" w:lineRule="exact"/>
              <w:jc w:val="left"/>
              <w:rPr>
                <w:rFonts w:hint="eastAsia" w:ascii="宋体" w:hAnsi="宋体" w:eastAsia="宋体" w:cs="Times New Roman"/>
                <w:bCs/>
                <w:color w:val="auto"/>
                <w:szCs w:val="21"/>
              </w:rPr>
            </w:pPr>
            <w:r>
              <w:rPr>
                <w:rFonts w:hint="eastAsia" w:ascii="宋体" w:hAnsi="宋体" w:eastAsia="宋体" w:cs="Times New Roman"/>
                <w:bCs/>
                <w:color w:val="auto"/>
                <w:szCs w:val="21"/>
              </w:rPr>
              <w:t>参考招标文件第八章3.1格式填写</w:t>
            </w:r>
          </w:p>
        </w:tc>
      </w:tr>
      <w:tr w14:paraId="7905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16A2667B">
            <w:pPr>
              <w:spacing w:line="400" w:lineRule="exact"/>
              <w:jc w:val="center"/>
              <w:rPr>
                <w:rFonts w:hint="eastAsia" w:ascii="宋体" w:hAnsi="宋体"/>
                <w:b/>
                <w:color w:val="auto"/>
                <w:szCs w:val="21"/>
              </w:rPr>
            </w:pPr>
            <w:r>
              <w:rPr>
                <w:rFonts w:hint="eastAsia" w:ascii="宋体" w:hAnsi="宋体"/>
                <w:b/>
                <w:color w:val="auto"/>
                <w:szCs w:val="21"/>
              </w:rPr>
              <w:t>2</w:t>
            </w:r>
          </w:p>
        </w:tc>
        <w:tc>
          <w:tcPr>
            <w:tcW w:w="2529" w:type="dxa"/>
            <w:noWrap w:val="0"/>
            <w:vAlign w:val="center"/>
          </w:tcPr>
          <w:p w14:paraId="27562911">
            <w:pPr>
              <w:kinsoku/>
              <w:wordWrap/>
              <w:overflowPunct/>
              <w:topLinePunct w:val="0"/>
              <w:bidi w:val="0"/>
              <w:spacing w:beforeAutospacing="0" w:afterAutospacing="0" w:line="360" w:lineRule="auto"/>
              <w:jc w:val="center"/>
              <w:rPr>
                <w:rFonts w:hint="eastAsia" w:ascii="宋体" w:hAnsi="宋体"/>
                <w:b/>
                <w:color w:val="auto"/>
                <w:szCs w:val="21"/>
              </w:rPr>
            </w:pPr>
            <w:r>
              <w:rPr>
                <w:rFonts w:hint="eastAsia" w:ascii="宋体" w:hAnsi="宋体"/>
                <w:b/>
                <w:color w:val="auto"/>
                <w:sz w:val="24"/>
                <w:szCs w:val="24"/>
              </w:rPr>
              <w:t>法人或者其他组织的营业执照等证明文件，自然人的身份证明</w:t>
            </w:r>
          </w:p>
        </w:tc>
        <w:tc>
          <w:tcPr>
            <w:tcW w:w="5835" w:type="dxa"/>
            <w:noWrap w:val="0"/>
            <w:vAlign w:val="center"/>
          </w:tcPr>
          <w:p w14:paraId="5A912104">
            <w:pPr>
              <w:spacing w:line="400" w:lineRule="exact"/>
              <w:jc w:val="left"/>
              <w:rPr>
                <w:rFonts w:hint="eastAsia" w:ascii="宋体" w:hAnsi="宋体"/>
                <w:bCs/>
                <w:color w:val="auto"/>
                <w:szCs w:val="21"/>
              </w:rPr>
            </w:pPr>
            <w:r>
              <w:rPr>
                <w:rFonts w:hint="eastAsia" w:ascii="宋体" w:hAnsi="宋体"/>
                <w:bCs/>
                <w:color w:val="auto"/>
                <w:szCs w:val="21"/>
              </w:rPr>
              <w:t>（1）企业法人营业执照或营业执照。（企业提供）</w:t>
            </w:r>
          </w:p>
          <w:p w14:paraId="5464EC53">
            <w:pPr>
              <w:spacing w:line="400" w:lineRule="exact"/>
              <w:jc w:val="left"/>
              <w:rPr>
                <w:rFonts w:hint="eastAsia" w:ascii="宋体" w:hAnsi="宋体"/>
                <w:bCs/>
                <w:color w:val="auto"/>
                <w:szCs w:val="21"/>
              </w:rPr>
            </w:pPr>
            <w:r>
              <w:rPr>
                <w:rFonts w:hint="eastAsia" w:ascii="宋体" w:hAnsi="宋体"/>
                <w:bCs/>
                <w:color w:val="auto"/>
                <w:szCs w:val="21"/>
              </w:rPr>
              <w:t>（2）事业单位法人证书。（事业单位提供）</w:t>
            </w:r>
          </w:p>
          <w:p w14:paraId="447C5EBB">
            <w:pPr>
              <w:spacing w:line="400" w:lineRule="exact"/>
              <w:jc w:val="left"/>
              <w:rPr>
                <w:rFonts w:hint="eastAsia" w:ascii="宋体" w:hAnsi="宋体"/>
                <w:bCs/>
                <w:color w:val="auto"/>
                <w:szCs w:val="21"/>
              </w:rPr>
            </w:pPr>
            <w:r>
              <w:rPr>
                <w:rFonts w:hint="eastAsia" w:ascii="宋体" w:hAnsi="宋体"/>
                <w:bCs/>
                <w:color w:val="auto"/>
                <w:szCs w:val="21"/>
              </w:rPr>
              <w:t>（3）执业许可证。（非企业专业服务机构提供）</w:t>
            </w:r>
          </w:p>
          <w:p w14:paraId="56DB02F2">
            <w:pPr>
              <w:spacing w:line="400" w:lineRule="exact"/>
              <w:jc w:val="left"/>
              <w:rPr>
                <w:rFonts w:hint="eastAsia" w:ascii="宋体" w:hAnsi="宋体"/>
                <w:bCs/>
                <w:color w:val="auto"/>
                <w:szCs w:val="21"/>
              </w:rPr>
            </w:pPr>
            <w:r>
              <w:rPr>
                <w:rFonts w:hint="eastAsia" w:ascii="宋体" w:hAnsi="宋体"/>
                <w:bCs/>
                <w:color w:val="auto"/>
                <w:szCs w:val="21"/>
              </w:rPr>
              <w:t>（4）个体工商户营业执照。（个体工商户提供）</w:t>
            </w:r>
          </w:p>
          <w:p w14:paraId="2B7FD617">
            <w:pPr>
              <w:spacing w:line="400" w:lineRule="exact"/>
              <w:jc w:val="left"/>
              <w:rPr>
                <w:rFonts w:hint="eastAsia" w:ascii="宋体" w:hAnsi="宋体"/>
                <w:bCs/>
                <w:color w:val="auto"/>
                <w:szCs w:val="21"/>
              </w:rPr>
            </w:pPr>
            <w:r>
              <w:rPr>
                <w:rFonts w:hint="eastAsia" w:ascii="宋体" w:hAnsi="宋体"/>
                <w:bCs/>
                <w:color w:val="auto"/>
                <w:szCs w:val="21"/>
              </w:rPr>
              <w:t>（5）自然人身份证明。（自然人提供）</w:t>
            </w:r>
          </w:p>
          <w:p w14:paraId="2AEE5E41">
            <w:pPr>
              <w:spacing w:line="400" w:lineRule="exact"/>
              <w:jc w:val="left"/>
              <w:rPr>
                <w:rFonts w:hint="eastAsia" w:ascii="宋体" w:hAnsi="宋体" w:eastAsia="宋体" w:cs="Times New Roman"/>
                <w:bCs/>
                <w:color w:val="auto"/>
                <w:szCs w:val="21"/>
                <w:lang w:eastAsia="zh-CN"/>
              </w:rPr>
            </w:pPr>
            <w:r>
              <w:rPr>
                <w:rFonts w:hint="eastAsia" w:ascii="宋体" w:hAnsi="宋体"/>
                <w:bCs/>
                <w:color w:val="auto"/>
                <w:szCs w:val="21"/>
              </w:rPr>
              <w:t>（6）民办非企业单位登记证书。（民办非企业单位提供）</w:t>
            </w:r>
          </w:p>
        </w:tc>
      </w:tr>
      <w:tr w14:paraId="35E4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14:paraId="3F2EEA30">
            <w:pPr>
              <w:spacing w:line="400" w:lineRule="exact"/>
              <w:jc w:val="center"/>
              <w:rPr>
                <w:rFonts w:hint="eastAsia" w:ascii="宋体" w:hAnsi="宋体"/>
                <w:b/>
                <w:color w:val="auto"/>
                <w:szCs w:val="21"/>
              </w:rPr>
            </w:pPr>
            <w:r>
              <w:rPr>
                <w:rFonts w:hint="eastAsia" w:ascii="宋体" w:hAnsi="宋体"/>
                <w:b/>
                <w:color w:val="auto"/>
                <w:szCs w:val="21"/>
              </w:rPr>
              <w:t>3</w:t>
            </w:r>
          </w:p>
        </w:tc>
        <w:tc>
          <w:tcPr>
            <w:tcW w:w="2529" w:type="dxa"/>
            <w:noWrap w:val="0"/>
            <w:vAlign w:val="center"/>
          </w:tcPr>
          <w:p w14:paraId="327DEF87">
            <w:pPr>
              <w:spacing w:line="400" w:lineRule="exact"/>
              <w:jc w:val="center"/>
              <w:rPr>
                <w:rFonts w:hint="eastAsia" w:ascii="宋体" w:hAnsi="宋体"/>
                <w:b/>
                <w:color w:val="auto"/>
                <w:szCs w:val="21"/>
              </w:rPr>
            </w:pPr>
            <w:r>
              <w:rPr>
                <w:rFonts w:hint="eastAsia" w:ascii="宋体" w:hAnsi="宋体"/>
                <w:b/>
                <w:color w:val="auto"/>
                <w:szCs w:val="21"/>
              </w:rPr>
              <w:t>许昌市建安区政府采购</w:t>
            </w:r>
            <w:r>
              <w:rPr>
                <w:rFonts w:hint="eastAsia" w:ascii="宋体" w:hAnsi="宋体"/>
                <w:b/>
                <w:color w:val="auto"/>
                <w:szCs w:val="21"/>
                <w:lang w:val="en-US" w:eastAsia="zh-CN"/>
              </w:rPr>
              <w:t>供应商</w:t>
            </w:r>
            <w:r>
              <w:rPr>
                <w:rFonts w:hint="eastAsia" w:ascii="宋体" w:hAnsi="宋体"/>
                <w:b/>
                <w:color w:val="auto"/>
                <w:szCs w:val="21"/>
              </w:rPr>
              <w:t>信用承诺函</w:t>
            </w:r>
          </w:p>
        </w:tc>
        <w:tc>
          <w:tcPr>
            <w:tcW w:w="5835" w:type="dxa"/>
            <w:noWrap w:val="0"/>
            <w:vAlign w:val="center"/>
          </w:tcPr>
          <w:p w14:paraId="7C2C94E1">
            <w:pPr>
              <w:spacing w:line="400" w:lineRule="exact"/>
              <w:jc w:val="left"/>
              <w:rPr>
                <w:rFonts w:hint="eastAsia" w:ascii="宋体" w:hAnsi="宋体"/>
                <w:bCs/>
                <w:color w:val="auto"/>
                <w:szCs w:val="21"/>
              </w:rPr>
            </w:pPr>
            <w:r>
              <w:rPr>
                <w:rFonts w:hint="eastAsia" w:ascii="宋体" w:hAnsi="宋体"/>
                <w:bCs/>
                <w:color w:val="auto"/>
                <w:szCs w:val="21"/>
              </w:rPr>
              <w:t>按照招标文件第八章3.</w:t>
            </w:r>
            <w:r>
              <w:rPr>
                <w:rFonts w:hint="eastAsia" w:ascii="宋体" w:hAnsi="宋体"/>
                <w:bCs/>
                <w:color w:val="auto"/>
                <w:szCs w:val="21"/>
                <w:lang w:val="en-US" w:eastAsia="zh-CN"/>
              </w:rPr>
              <w:t>5</w:t>
            </w:r>
            <w:r>
              <w:rPr>
                <w:rFonts w:hint="eastAsia" w:ascii="宋体" w:hAnsi="宋体"/>
                <w:bCs/>
                <w:color w:val="auto"/>
                <w:szCs w:val="21"/>
              </w:rPr>
              <w:t>格式填写</w:t>
            </w:r>
          </w:p>
        </w:tc>
      </w:tr>
      <w:tr w14:paraId="6277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1018B078">
            <w:pPr>
              <w:spacing w:line="400" w:lineRule="exact"/>
              <w:jc w:val="center"/>
              <w:rPr>
                <w:rFonts w:hint="eastAsia" w:ascii="宋体" w:hAnsi="宋体"/>
                <w:b/>
                <w:color w:val="auto"/>
                <w:szCs w:val="21"/>
              </w:rPr>
            </w:pPr>
            <w:r>
              <w:rPr>
                <w:rFonts w:hint="eastAsia" w:ascii="宋体" w:hAnsi="宋体"/>
                <w:b/>
                <w:color w:val="auto"/>
                <w:szCs w:val="21"/>
              </w:rPr>
              <w:t>4</w:t>
            </w:r>
          </w:p>
        </w:tc>
        <w:tc>
          <w:tcPr>
            <w:tcW w:w="2529" w:type="dxa"/>
            <w:noWrap w:val="0"/>
            <w:vAlign w:val="center"/>
          </w:tcPr>
          <w:p w14:paraId="393E302E">
            <w:pPr>
              <w:spacing w:line="400" w:lineRule="exact"/>
              <w:jc w:val="center"/>
              <w:rPr>
                <w:rFonts w:hint="eastAsia" w:ascii="宋体" w:hAnsi="宋体"/>
                <w:b/>
                <w:color w:val="auto"/>
                <w:szCs w:val="21"/>
              </w:rPr>
            </w:pPr>
            <w:r>
              <w:rPr>
                <w:rFonts w:hint="eastAsia" w:ascii="宋体" w:hAnsi="宋体"/>
                <w:b/>
                <w:color w:val="auto"/>
                <w:szCs w:val="21"/>
                <w:lang w:eastAsia="zh-CN"/>
              </w:rPr>
              <w:t>投标人</w:t>
            </w:r>
            <w:r>
              <w:rPr>
                <w:rFonts w:hint="eastAsia" w:ascii="宋体" w:hAnsi="宋体"/>
                <w:b/>
                <w:color w:val="auto"/>
                <w:szCs w:val="21"/>
              </w:rPr>
              <w:t>须具备的特殊</w:t>
            </w:r>
          </w:p>
          <w:p w14:paraId="21353808">
            <w:pPr>
              <w:spacing w:line="400" w:lineRule="exact"/>
              <w:jc w:val="center"/>
              <w:rPr>
                <w:rFonts w:hint="eastAsia" w:ascii="宋体" w:hAnsi="宋体"/>
                <w:b/>
                <w:color w:val="auto"/>
                <w:szCs w:val="21"/>
              </w:rPr>
            </w:pPr>
            <w:r>
              <w:rPr>
                <w:rFonts w:hint="eastAsia" w:ascii="宋体" w:hAnsi="宋体"/>
                <w:b/>
                <w:color w:val="auto"/>
                <w:szCs w:val="21"/>
              </w:rPr>
              <w:t>资质证书</w:t>
            </w:r>
          </w:p>
        </w:tc>
        <w:tc>
          <w:tcPr>
            <w:tcW w:w="5835" w:type="dxa"/>
            <w:noWrap w:val="0"/>
            <w:vAlign w:val="center"/>
          </w:tcPr>
          <w:p w14:paraId="0732136C">
            <w:pPr>
              <w:spacing w:line="400" w:lineRule="exact"/>
              <w:jc w:val="left"/>
              <w:rPr>
                <w:rFonts w:hint="default" w:ascii="宋体" w:hAnsi="宋体" w:eastAsia="宋体"/>
                <w:bCs/>
                <w:color w:val="auto"/>
                <w:szCs w:val="21"/>
                <w:lang w:val="en-US" w:eastAsia="zh-CN"/>
              </w:rPr>
            </w:pPr>
            <w:r>
              <w:rPr>
                <w:rFonts w:hint="default" w:ascii="宋体" w:hAnsi="宋体" w:eastAsia="宋体"/>
                <w:bCs/>
                <w:color w:val="auto"/>
                <w:szCs w:val="21"/>
                <w:lang w:val="en-US" w:eastAsia="zh-CN"/>
              </w:rPr>
              <w:t>1</w:t>
            </w:r>
            <w:r>
              <w:rPr>
                <w:rFonts w:hint="eastAsia" w:ascii="宋体" w:hAnsi="宋体"/>
                <w:bCs/>
                <w:color w:val="auto"/>
                <w:szCs w:val="21"/>
                <w:lang w:val="en-US" w:eastAsia="zh-CN"/>
              </w:rPr>
              <w:t>.</w:t>
            </w:r>
            <w:r>
              <w:rPr>
                <w:rFonts w:hint="default" w:ascii="宋体" w:hAnsi="宋体" w:eastAsia="宋体"/>
                <w:bCs/>
                <w:color w:val="auto"/>
                <w:szCs w:val="21"/>
                <w:lang w:val="en-US" w:eastAsia="zh-CN"/>
              </w:rPr>
              <w:t>施工单位须具备建设行政主管部门颁发的水利水电工程施工总承包贰级及以上资质，且具备有效的安全生产许可证。</w:t>
            </w:r>
          </w:p>
          <w:p w14:paraId="337200F5">
            <w:pPr>
              <w:spacing w:line="400" w:lineRule="exact"/>
              <w:jc w:val="left"/>
              <w:rPr>
                <w:rFonts w:hint="default" w:ascii="宋体" w:hAnsi="宋体" w:eastAsia="宋体"/>
                <w:bCs/>
                <w:color w:val="auto"/>
                <w:szCs w:val="21"/>
                <w:lang w:val="en-US" w:eastAsia="zh-CN"/>
              </w:rPr>
            </w:pPr>
            <w:r>
              <w:rPr>
                <w:rFonts w:hint="default" w:ascii="宋体" w:hAnsi="宋体" w:eastAsia="宋体"/>
                <w:bCs/>
                <w:color w:val="auto"/>
                <w:szCs w:val="21"/>
                <w:lang w:val="en-US" w:eastAsia="zh-CN"/>
              </w:rPr>
              <w:t>2</w:t>
            </w:r>
            <w:r>
              <w:rPr>
                <w:rFonts w:hint="eastAsia" w:ascii="宋体" w:hAnsi="宋体"/>
                <w:bCs/>
                <w:color w:val="auto"/>
                <w:szCs w:val="21"/>
                <w:lang w:val="en-US" w:eastAsia="zh-CN"/>
              </w:rPr>
              <w:t>.</w:t>
            </w:r>
            <w:r>
              <w:rPr>
                <w:rFonts w:hint="default" w:ascii="宋体" w:hAnsi="宋体" w:eastAsia="宋体"/>
                <w:bCs/>
                <w:color w:val="auto"/>
                <w:szCs w:val="21"/>
                <w:lang w:val="en-US" w:eastAsia="zh-CN"/>
              </w:rPr>
              <w:t>拟派施工项目负责人须具有水利水电工程专业贰级及以上注册建造师资格证书，且具有有效的安全生产考核合格证；拟派施工项目技术负责人具有水利专业中级及以上技术职称；项目负责人和技术负责人不得有在建工程，并出具无在建工程承诺书。</w:t>
            </w:r>
          </w:p>
        </w:tc>
      </w:tr>
      <w:tr w14:paraId="78F4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50BD9FC5">
            <w:pPr>
              <w:spacing w:line="400" w:lineRule="exact"/>
              <w:jc w:val="center"/>
              <w:rPr>
                <w:rFonts w:hint="eastAsia" w:ascii="宋体" w:hAnsi="宋体"/>
                <w:b/>
                <w:color w:val="auto"/>
                <w:szCs w:val="21"/>
              </w:rPr>
            </w:pPr>
            <w:r>
              <w:rPr>
                <w:rFonts w:hint="eastAsia" w:ascii="宋体" w:hAnsi="宋体"/>
                <w:b/>
                <w:color w:val="auto"/>
                <w:szCs w:val="21"/>
              </w:rPr>
              <w:t>5</w:t>
            </w:r>
          </w:p>
        </w:tc>
        <w:tc>
          <w:tcPr>
            <w:tcW w:w="2529" w:type="dxa"/>
            <w:noWrap w:val="0"/>
            <w:vAlign w:val="center"/>
          </w:tcPr>
          <w:p w14:paraId="29C5AD7D">
            <w:pPr>
              <w:spacing w:line="400" w:lineRule="exact"/>
              <w:jc w:val="center"/>
              <w:rPr>
                <w:rFonts w:hint="eastAsia" w:ascii="宋体" w:hAnsi="宋体"/>
                <w:b/>
                <w:color w:val="auto"/>
                <w:szCs w:val="21"/>
              </w:rPr>
            </w:pPr>
            <w:r>
              <w:rPr>
                <w:rFonts w:hint="eastAsia" w:ascii="宋体" w:hAnsi="宋体"/>
                <w:b/>
                <w:color w:val="auto"/>
                <w:szCs w:val="21"/>
              </w:rPr>
              <w:t>投标</w:t>
            </w:r>
            <w:r>
              <w:rPr>
                <w:rFonts w:hint="eastAsia" w:ascii="宋体" w:hAnsi="宋体"/>
                <w:b/>
                <w:color w:val="auto"/>
                <w:szCs w:val="21"/>
                <w:lang w:val="zh-CN"/>
              </w:rPr>
              <w:t>报价</w:t>
            </w:r>
          </w:p>
        </w:tc>
        <w:tc>
          <w:tcPr>
            <w:tcW w:w="5835" w:type="dxa"/>
            <w:noWrap w:val="0"/>
            <w:vAlign w:val="top"/>
          </w:tcPr>
          <w:p w14:paraId="1B69704C">
            <w:pPr>
              <w:spacing w:line="400" w:lineRule="exact"/>
              <w:jc w:val="left"/>
              <w:rPr>
                <w:rFonts w:hint="eastAsia" w:ascii="宋体" w:hAnsi="宋体"/>
                <w:bCs/>
                <w:color w:val="auto"/>
                <w:szCs w:val="21"/>
              </w:rPr>
            </w:pPr>
            <w:r>
              <w:rPr>
                <w:rFonts w:hint="eastAsia" w:ascii="宋体" w:hAnsi="宋体"/>
                <w:bCs/>
                <w:color w:val="auto"/>
                <w:szCs w:val="21"/>
                <w:lang w:val="zh-CN"/>
              </w:rPr>
              <w:t>投标报价是否超出招标文件中规定的预算金额，超出预算金额的投标无效。如投标人须知前附表规定最高限价，则超出预算金额和最高限价的投标无效。</w:t>
            </w:r>
          </w:p>
        </w:tc>
      </w:tr>
      <w:tr w14:paraId="6C31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54244B23">
            <w:pPr>
              <w:spacing w:line="400" w:lineRule="exact"/>
              <w:jc w:val="center"/>
              <w:rPr>
                <w:rFonts w:hint="eastAsia" w:ascii="宋体" w:hAnsi="宋体"/>
                <w:b/>
                <w:color w:val="auto"/>
                <w:szCs w:val="21"/>
              </w:rPr>
            </w:pPr>
            <w:r>
              <w:rPr>
                <w:rFonts w:hint="eastAsia" w:ascii="宋体" w:hAnsi="宋体"/>
                <w:b/>
                <w:color w:val="auto"/>
                <w:szCs w:val="21"/>
              </w:rPr>
              <w:t>6</w:t>
            </w:r>
          </w:p>
        </w:tc>
        <w:tc>
          <w:tcPr>
            <w:tcW w:w="2529" w:type="dxa"/>
            <w:noWrap w:val="0"/>
            <w:vAlign w:val="center"/>
          </w:tcPr>
          <w:p w14:paraId="5FBB0E20">
            <w:pPr>
              <w:spacing w:line="400" w:lineRule="exact"/>
              <w:jc w:val="center"/>
              <w:rPr>
                <w:rFonts w:hint="eastAsia" w:ascii="宋体" w:hAnsi="宋体"/>
                <w:b/>
                <w:color w:val="auto"/>
                <w:szCs w:val="21"/>
              </w:rPr>
            </w:pPr>
            <w:r>
              <w:rPr>
                <w:rFonts w:hint="eastAsia" w:ascii="宋体" w:hAnsi="宋体"/>
                <w:b/>
                <w:color w:val="auto"/>
                <w:szCs w:val="21"/>
              </w:rPr>
              <w:t>投标承诺函</w:t>
            </w:r>
          </w:p>
        </w:tc>
        <w:tc>
          <w:tcPr>
            <w:tcW w:w="5835" w:type="dxa"/>
            <w:noWrap w:val="0"/>
            <w:vAlign w:val="center"/>
          </w:tcPr>
          <w:p w14:paraId="29716F19">
            <w:pPr>
              <w:spacing w:line="400" w:lineRule="exact"/>
              <w:jc w:val="left"/>
              <w:rPr>
                <w:rFonts w:hint="eastAsia" w:ascii="宋体" w:hAnsi="宋体"/>
                <w:bCs/>
                <w:color w:val="auto"/>
                <w:szCs w:val="21"/>
              </w:rPr>
            </w:pPr>
            <w:r>
              <w:rPr>
                <w:rFonts w:hint="eastAsia" w:ascii="宋体" w:hAnsi="宋体"/>
                <w:bCs/>
                <w:color w:val="auto"/>
                <w:szCs w:val="21"/>
              </w:rPr>
              <w:t>是否按要求承诺。</w:t>
            </w:r>
          </w:p>
        </w:tc>
      </w:tr>
      <w:tr w14:paraId="758C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387F2AA6">
            <w:pPr>
              <w:spacing w:line="400" w:lineRule="exact"/>
              <w:jc w:val="center"/>
              <w:rPr>
                <w:rFonts w:hint="eastAsia" w:ascii="宋体" w:hAnsi="宋体"/>
                <w:b/>
                <w:color w:val="auto"/>
                <w:szCs w:val="21"/>
              </w:rPr>
            </w:pPr>
            <w:r>
              <w:rPr>
                <w:rFonts w:hint="eastAsia" w:ascii="宋体" w:hAnsi="宋体"/>
                <w:b/>
                <w:color w:val="auto"/>
                <w:szCs w:val="21"/>
              </w:rPr>
              <w:t>7</w:t>
            </w:r>
          </w:p>
        </w:tc>
        <w:tc>
          <w:tcPr>
            <w:tcW w:w="2529" w:type="dxa"/>
            <w:noWrap w:val="0"/>
            <w:vAlign w:val="center"/>
          </w:tcPr>
          <w:p w14:paraId="074B7E7A">
            <w:pPr>
              <w:spacing w:line="400" w:lineRule="exact"/>
              <w:jc w:val="center"/>
              <w:rPr>
                <w:rFonts w:hint="eastAsia" w:ascii="宋体" w:hAnsi="宋体"/>
                <w:b/>
                <w:color w:val="auto"/>
                <w:szCs w:val="21"/>
              </w:rPr>
            </w:pPr>
            <w:r>
              <w:rPr>
                <w:rFonts w:hint="eastAsia" w:ascii="宋体" w:hAnsi="宋体"/>
                <w:b/>
                <w:color w:val="auto"/>
                <w:szCs w:val="21"/>
              </w:rPr>
              <w:t>联合体协议</w:t>
            </w:r>
          </w:p>
        </w:tc>
        <w:tc>
          <w:tcPr>
            <w:tcW w:w="5835" w:type="dxa"/>
            <w:noWrap w:val="0"/>
            <w:vAlign w:val="top"/>
          </w:tcPr>
          <w:p w14:paraId="37929FA9">
            <w:pPr>
              <w:spacing w:line="400" w:lineRule="exact"/>
              <w:jc w:val="left"/>
              <w:rPr>
                <w:rFonts w:hint="eastAsia" w:ascii="宋体" w:hAnsi="宋体"/>
                <w:bCs/>
                <w:color w:val="auto"/>
                <w:szCs w:val="21"/>
              </w:rPr>
            </w:pPr>
            <w:r>
              <w:rPr>
                <w:rFonts w:hint="eastAsia" w:ascii="宋体" w:hAnsi="宋体"/>
                <w:bCs/>
                <w:color w:val="auto"/>
                <w:szCs w:val="21"/>
              </w:rPr>
              <w:t>招标文件接受联合体投标且</w:t>
            </w:r>
            <w:r>
              <w:rPr>
                <w:rFonts w:hint="eastAsia" w:ascii="宋体" w:hAnsi="宋体"/>
                <w:bCs/>
                <w:color w:val="auto"/>
                <w:szCs w:val="21"/>
                <w:lang w:eastAsia="zh-CN"/>
              </w:rPr>
              <w:t>投标人</w:t>
            </w:r>
            <w:r>
              <w:rPr>
                <w:rFonts w:hint="eastAsia" w:ascii="宋体" w:hAnsi="宋体"/>
                <w:bCs/>
                <w:color w:val="auto"/>
                <w:szCs w:val="21"/>
              </w:rPr>
              <w:t>为联合体的，</w:t>
            </w:r>
            <w:r>
              <w:rPr>
                <w:rFonts w:hint="eastAsia" w:ascii="宋体" w:hAnsi="宋体"/>
                <w:bCs/>
                <w:color w:val="auto"/>
                <w:szCs w:val="21"/>
                <w:lang w:eastAsia="zh-CN"/>
              </w:rPr>
              <w:t>投标人</w:t>
            </w:r>
            <w:r>
              <w:rPr>
                <w:rFonts w:hint="eastAsia" w:ascii="宋体" w:hAnsi="宋体"/>
                <w:bCs/>
                <w:color w:val="auto"/>
                <w:szCs w:val="21"/>
              </w:rPr>
              <w:t>应提供本协议；否则无须提供。</w:t>
            </w:r>
          </w:p>
        </w:tc>
      </w:tr>
      <w:tr w14:paraId="64E1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10FCEE2">
            <w:pPr>
              <w:spacing w:line="400" w:lineRule="exact"/>
              <w:jc w:val="center"/>
              <w:rPr>
                <w:rFonts w:hint="eastAsia" w:ascii="宋体" w:hAnsi="宋体"/>
                <w:b/>
                <w:color w:val="auto"/>
                <w:szCs w:val="21"/>
              </w:rPr>
            </w:pPr>
            <w:r>
              <w:rPr>
                <w:rFonts w:hint="eastAsia" w:ascii="宋体" w:hAnsi="宋体"/>
                <w:b/>
                <w:color w:val="auto"/>
                <w:szCs w:val="21"/>
              </w:rPr>
              <w:t>8</w:t>
            </w:r>
          </w:p>
        </w:tc>
        <w:tc>
          <w:tcPr>
            <w:tcW w:w="2529" w:type="dxa"/>
            <w:noWrap w:val="0"/>
            <w:vAlign w:val="center"/>
          </w:tcPr>
          <w:p w14:paraId="21D66159">
            <w:pPr>
              <w:spacing w:line="400" w:lineRule="exact"/>
              <w:jc w:val="center"/>
              <w:rPr>
                <w:rFonts w:hint="eastAsia" w:ascii="宋体" w:hAnsi="宋体"/>
                <w:b/>
                <w:color w:val="auto"/>
                <w:szCs w:val="21"/>
              </w:rPr>
            </w:pPr>
            <w:r>
              <w:rPr>
                <w:rFonts w:hint="eastAsia" w:ascii="宋体" w:hAnsi="宋体"/>
                <w:b/>
                <w:color w:val="auto"/>
                <w:szCs w:val="21"/>
                <w:lang w:eastAsia="zh-CN"/>
              </w:rPr>
              <w:t>投标人</w:t>
            </w:r>
            <w:r>
              <w:rPr>
                <w:rFonts w:hint="eastAsia" w:ascii="宋体" w:hAnsi="宋体"/>
                <w:b/>
                <w:color w:val="auto"/>
                <w:szCs w:val="21"/>
              </w:rPr>
              <w:t>身份证明及授权</w:t>
            </w:r>
          </w:p>
        </w:tc>
        <w:tc>
          <w:tcPr>
            <w:tcW w:w="5835" w:type="dxa"/>
            <w:noWrap w:val="0"/>
            <w:vAlign w:val="top"/>
          </w:tcPr>
          <w:p w14:paraId="5D5661C4">
            <w:pPr>
              <w:spacing w:line="400" w:lineRule="exact"/>
              <w:jc w:val="left"/>
              <w:rPr>
                <w:rFonts w:hint="eastAsia" w:ascii="宋体" w:hAnsi="宋体"/>
                <w:bCs/>
                <w:color w:val="auto"/>
                <w:szCs w:val="21"/>
                <w:lang w:val="zh-CN"/>
              </w:rPr>
            </w:pPr>
            <w:r>
              <w:rPr>
                <w:rFonts w:hint="eastAsia" w:ascii="宋体" w:hAnsi="宋体"/>
                <w:bCs/>
                <w:color w:val="auto"/>
                <w:szCs w:val="21"/>
                <w:lang w:val="zh-CN"/>
              </w:rPr>
              <w:t>（1）法定代表人身份证明或提供法定代表人授权委托书及被授权人身份证明。（法人投标提供）</w:t>
            </w:r>
          </w:p>
          <w:p w14:paraId="4D29052C">
            <w:pPr>
              <w:spacing w:line="400" w:lineRule="exact"/>
              <w:jc w:val="left"/>
              <w:rPr>
                <w:rFonts w:hint="eastAsia" w:ascii="宋体" w:hAnsi="宋体"/>
                <w:bCs/>
                <w:color w:val="auto"/>
                <w:szCs w:val="21"/>
                <w:lang w:val="zh-CN"/>
              </w:rPr>
            </w:pPr>
            <w:r>
              <w:rPr>
                <w:rFonts w:hint="eastAsia" w:ascii="宋体" w:hAnsi="宋体"/>
                <w:bCs/>
                <w:color w:val="auto"/>
                <w:szCs w:val="21"/>
                <w:lang w:val="zh-CN"/>
              </w:rPr>
              <w:t>（2）单位负责人身份证明或提供单位负责人授权委托书及被授权人身份证明。（非法人投标提供）</w:t>
            </w:r>
          </w:p>
          <w:p w14:paraId="3CEC8CFB">
            <w:pPr>
              <w:spacing w:line="400" w:lineRule="exact"/>
              <w:jc w:val="left"/>
              <w:rPr>
                <w:rFonts w:hint="eastAsia" w:ascii="宋体" w:hAnsi="宋体"/>
                <w:bCs/>
                <w:color w:val="auto"/>
                <w:szCs w:val="21"/>
                <w:lang w:val="zh-CN"/>
              </w:rPr>
            </w:pPr>
            <w:r>
              <w:rPr>
                <w:rFonts w:hint="eastAsia" w:ascii="宋体" w:hAnsi="宋体"/>
                <w:bCs/>
                <w:color w:val="auto"/>
                <w:szCs w:val="21"/>
                <w:lang w:val="zh-CN"/>
              </w:rPr>
              <w:t>注：</w:t>
            </w:r>
          </w:p>
          <w:p w14:paraId="1600F1C3">
            <w:pPr>
              <w:spacing w:line="400" w:lineRule="exact"/>
              <w:jc w:val="left"/>
              <w:rPr>
                <w:rFonts w:hint="eastAsia" w:ascii="宋体" w:hAnsi="宋体"/>
                <w:bCs/>
                <w:color w:val="auto"/>
                <w:szCs w:val="21"/>
              </w:rPr>
            </w:pPr>
            <w:r>
              <w:rPr>
                <w:rFonts w:hint="eastAsia" w:ascii="宋体" w:hAnsi="宋体"/>
                <w:bCs/>
                <w:color w:val="auto"/>
                <w:szCs w:val="21"/>
              </w:rPr>
              <w:t>①企业（银行、保险、石油石化、电力、电信等行业除外）、事业单位和社会团体</w:t>
            </w:r>
            <w:r>
              <w:rPr>
                <w:rFonts w:hint="eastAsia" w:ascii="宋体" w:hAnsi="宋体"/>
                <w:bCs/>
                <w:color w:val="auto"/>
                <w:szCs w:val="21"/>
                <w:lang w:eastAsia="zh-CN"/>
              </w:rPr>
              <w:t>投标人</w:t>
            </w:r>
            <w:r>
              <w:rPr>
                <w:rFonts w:hint="eastAsia" w:ascii="宋体" w:hAnsi="宋体"/>
                <w:bCs/>
                <w:color w:val="auto"/>
                <w:szCs w:val="21"/>
              </w:rPr>
              <w:t>以法人身份参加投标的，法定代表人应与实际提交的“营业执照等证明文件”载明的一致。</w:t>
            </w:r>
          </w:p>
          <w:p w14:paraId="51A693B8">
            <w:pPr>
              <w:spacing w:line="400" w:lineRule="exact"/>
              <w:jc w:val="left"/>
              <w:rPr>
                <w:rFonts w:hint="eastAsia" w:ascii="宋体" w:hAnsi="宋体"/>
                <w:bCs/>
                <w:color w:val="auto"/>
                <w:szCs w:val="21"/>
              </w:rPr>
            </w:pPr>
            <w:r>
              <w:rPr>
                <w:rFonts w:hint="eastAsia" w:ascii="宋体" w:hAnsi="宋体"/>
                <w:bCs/>
                <w:color w:val="auto"/>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223D49BF">
            <w:pPr>
              <w:spacing w:line="400" w:lineRule="exact"/>
              <w:jc w:val="left"/>
              <w:rPr>
                <w:rFonts w:hint="eastAsia" w:ascii="宋体" w:hAnsi="宋体"/>
                <w:bCs/>
                <w:color w:val="auto"/>
                <w:szCs w:val="21"/>
              </w:rPr>
            </w:pPr>
            <w:r>
              <w:rPr>
                <w:rFonts w:hint="eastAsia" w:ascii="宋体" w:hAnsi="宋体"/>
                <w:bCs/>
                <w:color w:val="auto"/>
                <w:szCs w:val="21"/>
              </w:rPr>
              <w:t>③</w:t>
            </w:r>
            <w:r>
              <w:rPr>
                <w:rFonts w:hint="eastAsia" w:ascii="宋体" w:hAnsi="宋体"/>
                <w:bCs/>
                <w:color w:val="auto"/>
                <w:szCs w:val="21"/>
                <w:lang w:eastAsia="zh-CN"/>
              </w:rPr>
              <w:t>投标人</w:t>
            </w:r>
            <w:r>
              <w:rPr>
                <w:rFonts w:hint="eastAsia" w:ascii="宋体" w:hAnsi="宋体"/>
                <w:bCs/>
                <w:color w:val="auto"/>
                <w:szCs w:val="21"/>
              </w:rPr>
              <w:t>为自然人的，无需填写法定代表人授权书。</w:t>
            </w:r>
          </w:p>
        </w:tc>
      </w:tr>
      <w:tr w14:paraId="20A2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61BC2D33">
            <w:pPr>
              <w:spacing w:line="400" w:lineRule="exact"/>
              <w:jc w:val="center"/>
              <w:rPr>
                <w:rFonts w:hint="eastAsia" w:ascii="宋体" w:hAnsi="宋体"/>
                <w:b/>
                <w:color w:val="auto"/>
                <w:szCs w:val="21"/>
              </w:rPr>
            </w:pPr>
            <w:r>
              <w:rPr>
                <w:rFonts w:hint="eastAsia" w:ascii="宋体" w:hAnsi="宋体"/>
                <w:b/>
                <w:color w:val="auto"/>
                <w:szCs w:val="21"/>
              </w:rPr>
              <w:t>9</w:t>
            </w:r>
          </w:p>
        </w:tc>
        <w:tc>
          <w:tcPr>
            <w:tcW w:w="2529" w:type="dxa"/>
            <w:noWrap w:val="0"/>
            <w:vAlign w:val="center"/>
          </w:tcPr>
          <w:p w14:paraId="5E3664B7">
            <w:pPr>
              <w:spacing w:line="400" w:lineRule="exact"/>
              <w:jc w:val="center"/>
              <w:rPr>
                <w:rFonts w:hint="eastAsia" w:ascii="宋体" w:hAnsi="宋体"/>
                <w:b/>
                <w:color w:val="auto"/>
                <w:szCs w:val="21"/>
              </w:rPr>
            </w:pPr>
            <w:r>
              <w:rPr>
                <w:rFonts w:hint="eastAsia" w:ascii="宋体" w:hAnsi="宋体"/>
                <w:b/>
                <w:color w:val="auto"/>
                <w:szCs w:val="21"/>
              </w:rPr>
              <w:t>单位负责人为同一人或者存在直接控股、管理关系的不同供应商，不得参加同一合同项下的政府采购活动</w:t>
            </w:r>
          </w:p>
        </w:tc>
        <w:tc>
          <w:tcPr>
            <w:tcW w:w="5835" w:type="dxa"/>
            <w:noWrap w:val="0"/>
            <w:vAlign w:val="top"/>
          </w:tcPr>
          <w:p w14:paraId="3FD9DEAA">
            <w:pPr>
              <w:spacing w:line="400" w:lineRule="exact"/>
              <w:jc w:val="left"/>
              <w:rPr>
                <w:rFonts w:hint="eastAsia" w:ascii="宋体" w:hAnsi="宋体"/>
                <w:bCs/>
                <w:color w:val="auto"/>
                <w:szCs w:val="21"/>
                <w:lang w:val="zh-CN"/>
              </w:rPr>
            </w:pPr>
            <w:r>
              <w:rPr>
                <w:rFonts w:hint="eastAsia" w:ascii="宋体" w:hAnsi="宋体"/>
                <w:bCs/>
                <w:color w:val="auto"/>
                <w:szCs w:val="21"/>
                <w:lang w:val="zh-CN"/>
              </w:rPr>
              <w:t>投标人提供与参加本项目投标的其他供应商之间，单位负责人不为同一人并且不存在直接控股、管理关系承诺函（承诺函格式自拟）。</w:t>
            </w:r>
          </w:p>
        </w:tc>
      </w:tr>
      <w:tr w14:paraId="44A2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14:paraId="2D600291">
            <w:pPr>
              <w:spacing w:line="400" w:lineRule="exact"/>
              <w:jc w:val="center"/>
              <w:rPr>
                <w:rFonts w:ascii="宋体" w:hAnsi="宋体"/>
                <w:b/>
                <w:color w:val="auto"/>
                <w:szCs w:val="21"/>
              </w:rPr>
            </w:pPr>
            <w:r>
              <w:rPr>
                <w:rFonts w:hint="eastAsia" w:ascii="宋体" w:hAnsi="宋体"/>
                <w:b/>
                <w:color w:val="auto"/>
                <w:szCs w:val="21"/>
              </w:rPr>
              <w:t>10</w:t>
            </w:r>
          </w:p>
        </w:tc>
        <w:tc>
          <w:tcPr>
            <w:tcW w:w="2529" w:type="dxa"/>
            <w:noWrap w:val="0"/>
            <w:vAlign w:val="center"/>
          </w:tcPr>
          <w:p w14:paraId="57591962">
            <w:pPr>
              <w:spacing w:line="400" w:lineRule="exact"/>
              <w:jc w:val="center"/>
              <w:rPr>
                <w:rFonts w:hint="eastAsia" w:ascii="宋体" w:hAnsi="宋体"/>
                <w:b/>
                <w:color w:val="auto"/>
                <w:szCs w:val="21"/>
              </w:rPr>
            </w:pPr>
            <w:r>
              <w:rPr>
                <w:rFonts w:hint="eastAsia" w:ascii="宋体" w:hAnsi="宋体"/>
                <w:b/>
                <w:color w:val="auto"/>
                <w:szCs w:val="21"/>
              </w:rPr>
              <w:t>为本项目提供整体设计、规范编制或者项目管理、监理、检测等服务的供应商不得参加本项目投标</w:t>
            </w:r>
          </w:p>
        </w:tc>
        <w:tc>
          <w:tcPr>
            <w:tcW w:w="5835" w:type="dxa"/>
            <w:noWrap w:val="0"/>
            <w:vAlign w:val="top"/>
          </w:tcPr>
          <w:p w14:paraId="5BED25CF">
            <w:pPr>
              <w:spacing w:line="400" w:lineRule="exact"/>
              <w:jc w:val="left"/>
              <w:rPr>
                <w:rFonts w:hint="eastAsia" w:ascii="宋体" w:hAnsi="宋体"/>
                <w:bCs/>
                <w:color w:val="auto"/>
                <w:szCs w:val="21"/>
                <w:lang w:val="zh-CN"/>
              </w:rPr>
            </w:pPr>
            <w:r>
              <w:rPr>
                <w:rFonts w:hint="eastAsia" w:ascii="宋体" w:hAnsi="宋体"/>
                <w:bCs/>
                <w:color w:val="auto"/>
                <w:szCs w:val="21"/>
                <w:lang w:val="zh-CN"/>
              </w:rPr>
              <w:t>投标人提供未为本项目提供整体设计、规范编制或者项目管理、监理、检测等服务承诺函（承诺函格式自拟）。</w:t>
            </w:r>
          </w:p>
        </w:tc>
      </w:tr>
    </w:tbl>
    <w:p w14:paraId="2CE3B46E">
      <w:pPr>
        <w:pStyle w:val="24"/>
        <w:spacing w:line="360" w:lineRule="auto"/>
        <w:contextualSpacing/>
        <w:jc w:val="left"/>
        <w:rPr>
          <w:rFonts w:ascii="宋体" w:hAnsi="宋体" w:cs="宋体"/>
          <w:b/>
          <w:bCs/>
          <w:color w:val="auto"/>
          <w:sz w:val="24"/>
        </w:rPr>
      </w:pPr>
      <w:r>
        <w:rPr>
          <w:rFonts w:hint="eastAsia" w:ascii="宋体" w:hAnsi="宋体" w:cs="宋体"/>
          <w:b/>
          <w:bCs/>
          <w:color w:val="auto"/>
          <w:sz w:val="24"/>
        </w:rPr>
        <w:t>二、评标</w:t>
      </w:r>
    </w:p>
    <w:p w14:paraId="312E74E8">
      <w:pPr>
        <w:pStyle w:val="24"/>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（一）评标方法</w:t>
      </w:r>
    </w:p>
    <w:p w14:paraId="58BB4024">
      <w:pPr>
        <w:pStyle w:val="24"/>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本项目采用综合评分法。总分为100分。</w:t>
      </w:r>
    </w:p>
    <w:p w14:paraId="317DE447">
      <w:pPr>
        <w:pStyle w:val="24"/>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（二）评标委员会负责具体评标事务，并独立履行下列职责</w:t>
      </w:r>
    </w:p>
    <w:p w14:paraId="2E641605">
      <w:pPr>
        <w:pStyle w:val="24"/>
        <w:spacing w:line="360" w:lineRule="auto"/>
        <w:ind w:firstLine="482" w:firstLineChars="200"/>
        <w:contextualSpacing/>
        <w:jc w:val="left"/>
        <w:rPr>
          <w:rFonts w:ascii="宋体" w:hAnsi="宋体" w:cs="宋体"/>
          <w:b/>
          <w:bCs/>
          <w:color w:val="auto"/>
          <w:sz w:val="24"/>
          <w:szCs w:val="24"/>
        </w:rPr>
      </w:pPr>
      <w:r>
        <w:rPr>
          <w:rFonts w:hint="eastAsia" w:ascii="宋体" w:hAnsi="宋体" w:cs="宋体"/>
          <w:b/>
          <w:bCs/>
          <w:color w:val="auto"/>
          <w:sz w:val="24"/>
          <w:szCs w:val="24"/>
        </w:rPr>
        <w:t>1、审查、评价投标文件是否符合招标文件的商务、技术等实质性要求；</w:t>
      </w:r>
    </w:p>
    <w:p w14:paraId="6135C4F1">
      <w:pPr>
        <w:pStyle w:val="24"/>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评标委员会对符合资格的</w:t>
      </w:r>
      <w:r>
        <w:rPr>
          <w:rFonts w:hint="eastAsia" w:ascii="宋体" w:hAnsi="宋体" w:cs="宋体"/>
          <w:color w:val="auto"/>
          <w:sz w:val="24"/>
          <w:szCs w:val="24"/>
          <w:lang w:eastAsia="zh-CN"/>
        </w:rPr>
        <w:t>投标人</w:t>
      </w:r>
      <w:r>
        <w:rPr>
          <w:rFonts w:hint="eastAsia" w:ascii="宋体" w:hAnsi="宋体" w:cs="宋体"/>
          <w:color w:val="auto"/>
          <w:sz w:val="24"/>
          <w:szCs w:val="24"/>
        </w:rPr>
        <w:t>的投标文件进行符合性审查，以确定其是否满足招标文件的商务、技术等实质性要求。</w:t>
      </w:r>
    </w:p>
    <w:p w14:paraId="20C86508">
      <w:pPr>
        <w:pStyle w:val="24"/>
        <w:spacing w:line="360" w:lineRule="auto"/>
        <w:ind w:firstLine="480" w:firstLineChars="200"/>
        <w:contextualSpacing/>
        <w:jc w:val="left"/>
        <w:rPr>
          <w:rFonts w:ascii="宋体" w:hAnsi="宋体" w:cs="宋体"/>
          <w:color w:val="auto"/>
          <w:sz w:val="24"/>
          <w:szCs w:val="24"/>
        </w:rPr>
      </w:pPr>
      <w:r>
        <w:rPr>
          <w:rFonts w:hint="eastAsia" w:ascii="宋体" w:hAnsi="宋体" w:cs="宋体"/>
          <w:color w:val="auto"/>
          <w:sz w:val="24"/>
          <w:szCs w:val="24"/>
        </w:rPr>
        <w:t>注：符合性审查中所涉及到的证书及材料，均应在电子投标文件中提供原件扫描件（或图片）。</w:t>
      </w:r>
    </w:p>
    <w:p w14:paraId="6E68BD46">
      <w:pPr>
        <w:pStyle w:val="24"/>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2、要求</w:t>
      </w:r>
      <w:r>
        <w:rPr>
          <w:rFonts w:hint="eastAsia" w:ascii="宋体" w:hAnsi="宋体" w:cs="宋体"/>
          <w:b/>
          <w:bCs/>
          <w:color w:val="auto"/>
          <w:sz w:val="24"/>
          <w:szCs w:val="24"/>
          <w:lang w:eastAsia="zh-CN"/>
        </w:rPr>
        <w:t>投标人</w:t>
      </w:r>
      <w:r>
        <w:rPr>
          <w:rFonts w:hint="eastAsia" w:ascii="宋体" w:hAnsi="宋体" w:cs="宋体"/>
          <w:b/>
          <w:bCs/>
          <w:color w:val="auto"/>
          <w:sz w:val="24"/>
          <w:szCs w:val="24"/>
        </w:rPr>
        <w:t>对投标文件有关事项作出澄清或者说明；</w:t>
      </w:r>
    </w:p>
    <w:p w14:paraId="0CF6D759">
      <w:pPr>
        <w:pStyle w:val="24"/>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对于投标文件中含义不明确、同类问题表述不一致或者有明显文字和计算错误的内容，评标委员会应当以书面形式要求</w:t>
      </w:r>
      <w:r>
        <w:rPr>
          <w:rFonts w:hint="eastAsia" w:ascii="宋体" w:hAnsi="宋体" w:cs="宋体"/>
          <w:color w:val="auto"/>
          <w:sz w:val="24"/>
          <w:szCs w:val="24"/>
          <w:lang w:eastAsia="zh-CN"/>
        </w:rPr>
        <w:t>投标人</w:t>
      </w:r>
      <w:r>
        <w:rPr>
          <w:rFonts w:hint="eastAsia" w:ascii="宋体" w:hAnsi="宋体" w:cs="宋体"/>
          <w:color w:val="auto"/>
          <w:sz w:val="24"/>
          <w:szCs w:val="24"/>
        </w:rPr>
        <w:t>作出必要的澄清、说明或者补正。</w:t>
      </w:r>
    </w:p>
    <w:p w14:paraId="334D3C02">
      <w:pPr>
        <w:pStyle w:val="24"/>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lang w:eastAsia="zh-CN"/>
        </w:rPr>
        <w:t>投标人</w:t>
      </w:r>
      <w:r>
        <w:rPr>
          <w:rFonts w:hint="eastAsia" w:ascii="宋体" w:hAnsi="宋体" w:cs="宋体"/>
          <w:color w:val="auto"/>
          <w:sz w:val="24"/>
          <w:szCs w:val="24"/>
        </w:rPr>
        <w:t>的澄清、说明或者补正应当采用书面形式，并加盖公章，或者由法定代表人或其授权的代表签字。</w:t>
      </w:r>
      <w:r>
        <w:rPr>
          <w:rFonts w:hint="eastAsia" w:ascii="宋体" w:hAnsi="宋体" w:cs="宋体"/>
          <w:color w:val="auto"/>
          <w:sz w:val="24"/>
          <w:szCs w:val="24"/>
          <w:lang w:eastAsia="zh-CN"/>
        </w:rPr>
        <w:t>投标人</w:t>
      </w:r>
      <w:r>
        <w:rPr>
          <w:rFonts w:hint="eastAsia" w:ascii="宋体" w:hAnsi="宋体" w:cs="宋体"/>
          <w:color w:val="auto"/>
          <w:sz w:val="24"/>
          <w:szCs w:val="24"/>
        </w:rPr>
        <w:t>的澄清、说明或者补正不得超出投标文件的范围或者改变投标文件的实质性内容。</w:t>
      </w:r>
    </w:p>
    <w:p w14:paraId="7468DFE2">
      <w:pPr>
        <w:pStyle w:val="24"/>
        <w:spacing w:line="360" w:lineRule="auto"/>
        <w:ind w:firstLine="465"/>
        <w:contextualSpacing/>
        <w:jc w:val="left"/>
        <w:rPr>
          <w:rFonts w:ascii="宋体" w:hAnsi="宋体" w:cs="宋体"/>
          <w:b/>
          <w:bCs/>
          <w:color w:val="auto"/>
          <w:sz w:val="24"/>
          <w:szCs w:val="24"/>
        </w:rPr>
      </w:pPr>
      <w:r>
        <w:rPr>
          <w:rFonts w:hint="eastAsia" w:ascii="宋体" w:hAnsi="宋体" w:cs="宋体"/>
          <w:b/>
          <w:bCs/>
          <w:color w:val="auto"/>
          <w:sz w:val="24"/>
          <w:szCs w:val="24"/>
        </w:rPr>
        <w:t>3、对投标文件进行比较和评价；</w:t>
      </w:r>
    </w:p>
    <w:p w14:paraId="06F7BCE5">
      <w:pPr>
        <w:pStyle w:val="24"/>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评标委员会按照招标文件中规定的评标方法和标准，对符合性审查合格的投标文件进行商务和技术评估，综合比较与评价。评标时，评标委员会各成员应当独立对每个</w:t>
      </w:r>
      <w:r>
        <w:rPr>
          <w:rFonts w:hint="eastAsia" w:ascii="宋体" w:hAnsi="宋体" w:cs="宋体"/>
          <w:color w:val="auto"/>
          <w:sz w:val="24"/>
          <w:szCs w:val="24"/>
          <w:lang w:eastAsia="zh-CN"/>
        </w:rPr>
        <w:t>投标人</w:t>
      </w:r>
      <w:r>
        <w:rPr>
          <w:rFonts w:hint="eastAsia" w:ascii="宋体" w:hAnsi="宋体" w:cs="宋体"/>
          <w:color w:val="auto"/>
          <w:sz w:val="24"/>
          <w:szCs w:val="24"/>
        </w:rPr>
        <w:t>的投标文件进行评价，并汇总每个</w:t>
      </w:r>
      <w:r>
        <w:rPr>
          <w:rFonts w:hint="eastAsia" w:ascii="宋体" w:hAnsi="宋体" w:cs="宋体"/>
          <w:color w:val="auto"/>
          <w:sz w:val="24"/>
          <w:szCs w:val="24"/>
          <w:lang w:eastAsia="zh-CN"/>
        </w:rPr>
        <w:t>投标人</w:t>
      </w:r>
      <w:r>
        <w:rPr>
          <w:rFonts w:hint="eastAsia" w:ascii="宋体" w:hAnsi="宋体" w:cs="宋体"/>
          <w:color w:val="auto"/>
          <w:sz w:val="24"/>
          <w:szCs w:val="24"/>
        </w:rPr>
        <w:t>的得分。评标过程中，不得去掉报价中的最高报价和最低报价。</w:t>
      </w:r>
    </w:p>
    <w:p w14:paraId="561CD3A8">
      <w:pPr>
        <w:pStyle w:val="24"/>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注：评标标准中所涉及到的证书及材料，均应在电子投标文件中提供原件扫描件（或图片）。</w:t>
      </w:r>
    </w:p>
    <w:p w14:paraId="5BDA3886">
      <w:pPr>
        <w:pStyle w:val="24"/>
        <w:spacing w:line="360" w:lineRule="auto"/>
        <w:ind w:firstLine="241" w:firstLineChars="100"/>
        <w:contextualSpacing/>
        <w:rPr>
          <w:rFonts w:ascii="宋体" w:hAnsi="宋体" w:cs="宋体"/>
          <w:b/>
          <w:bCs/>
          <w:color w:val="auto"/>
          <w:sz w:val="24"/>
          <w:szCs w:val="24"/>
        </w:rPr>
      </w:pPr>
      <w:r>
        <w:rPr>
          <w:rFonts w:hint="eastAsia" w:ascii="宋体" w:hAnsi="宋体" w:cs="宋体"/>
          <w:b/>
          <w:bCs/>
          <w:color w:val="auto"/>
          <w:sz w:val="24"/>
          <w:szCs w:val="24"/>
        </w:rPr>
        <w:t>（1）价格分计算</w:t>
      </w:r>
    </w:p>
    <w:p w14:paraId="711729D6">
      <w:pPr>
        <w:spacing w:line="360" w:lineRule="auto"/>
        <w:ind w:firstLine="472" w:firstLineChars="197"/>
        <w:contextualSpacing/>
        <w:jc w:val="left"/>
        <w:rPr>
          <w:rFonts w:hint="eastAsia" w:ascii="宋体" w:hAnsi="宋体" w:cs="宋体"/>
          <w:color w:val="auto"/>
          <w:sz w:val="24"/>
          <w:szCs w:val="24"/>
        </w:rPr>
      </w:pPr>
      <w:r>
        <w:rPr>
          <w:rFonts w:hint="eastAsia" w:ascii="宋体" w:hAnsi="宋体" w:cs="宋体"/>
          <w:color w:val="auto"/>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14:paraId="26DD5CF9">
      <w:pPr>
        <w:pStyle w:val="24"/>
        <w:kinsoku/>
        <w:wordWrap/>
        <w:overflowPunct/>
        <w:topLinePunct w:val="0"/>
        <w:bidi w:val="0"/>
        <w:spacing w:beforeAutospacing="0" w:afterAutospacing="0" w:line="360" w:lineRule="auto"/>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①如果本项目非专门面向中小企业采购，对符合《政府采购促进中小企业发展管理办法》（财库〔2020〕46号、《关于进一步加大政府采购支持中小企业力度的通知》（财库〔2022〕19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小型和微型企业不包含民办非企业单位。</w:t>
      </w:r>
    </w:p>
    <w:p w14:paraId="4F0DC04C">
      <w:pPr>
        <w:pStyle w:val="24"/>
        <w:kinsoku/>
        <w:wordWrap/>
        <w:overflowPunct/>
        <w:topLinePunct w:val="0"/>
        <w:bidi w:val="0"/>
        <w:spacing w:beforeAutospacing="0" w:afterAutospacing="0" w:line="360" w:lineRule="auto"/>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②对监狱企业价格给予20%的扣除，用扣除后的价格参与评审。监狱企业应当提供由省级以上监狱管理局、戒毒管理局（含新疆生产建设兵团）出具的属于监狱企业的证明文件。</w:t>
      </w:r>
    </w:p>
    <w:p w14:paraId="566E110B">
      <w:pPr>
        <w:pStyle w:val="24"/>
        <w:kinsoku/>
        <w:wordWrap/>
        <w:overflowPunct/>
        <w:topLinePunct w:val="0"/>
        <w:bidi w:val="0"/>
        <w:spacing w:beforeAutospacing="0" w:afterAutospacing="0" w:line="360" w:lineRule="auto"/>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③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7681EA59">
      <w:pPr>
        <w:pStyle w:val="24"/>
        <w:spacing w:line="360" w:lineRule="auto"/>
        <w:ind w:firstLine="354" w:firstLineChars="147"/>
        <w:contextualSpacing/>
        <w:rPr>
          <w:rFonts w:ascii="宋体" w:hAnsi="宋体" w:cs="宋体"/>
          <w:b/>
          <w:bCs/>
          <w:color w:val="auto"/>
          <w:sz w:val="24"/>
          <w:szCs w:val="24"/>
        </w:rPr>
      </w:pPr>
      <w:r>
        <w:rPr>
          <w:rFonts w:hint="eastAsia" w:ascii="宋体" w:hAnsi="宋体" w:cs="宋体"/>
          <w:b/>
          <w:bCs/>
          <w:color w:val="auto"/>
          <w:sz w:val="24"/>
          <w:szCs w:val="24"/>
        </w:rPr>
        <w:t>（2）关于相同品牌产品</w:t>
      </w:r>
      <w:r>
        <w:rPr>
          <w:rFonts w:ascii="宋体" w:hAnsi="宋体" w:cs="宋体"/>
          <w:b/>
          <w:bCs/>
          <w:color w:val="auto"/>
          <w:sz w:val="24"/>
          <w:szCs w:val="24"/>
        </w:rPr>
        <w:t>（服务类项目不适用本条款规定）</w:t>
      </w:r>
    </w:p>
    <w:p w14:paraId="1CB9D30E">
      <w:pPr>
        <w:spacing w:line="360" w:lineRule="auto"/>
        <w:ind w:firstLine="480" w:firstLineChars="200"/>
        <w:contextualSpacing/>
        <w:jc w:val="left"/>
        <w:rPr>
          <w:rFonts w:ascii="宋体" w:hAnsi="宋体"/>
          <w:color w:val="auto"/>
          <w:sz w:val="24"/>
        </w:rPr>
      </w:pPr>
      <w:r>
        <w:rPr>
          <w:rFonts w:hint="eastAsia" w:ascii="宋体" w:hAnsi="宋体"/>
          <w:color w:val="auto"/>
          <w:sz w:val="24"/>
        </w:rPr>
        <w:t>采用最低评标价法的，提供相同品牌产品的不同</w:t>
      </w:r>
      <w:r>
        <w:rPr>
          <w:rFonts w:hint="eastAsia" w:ascii="宋体" w:hAnsi="宋体"/>
          <w:color w:val="auto"/>
          <w:sz w:val="24"/>
          <w:lang w:eastAsia="zh-CN"/>
        </w:rPr>
        <w:t>投标人</w:t>
      </w:r>
      <w:r>
        <w:rPr>
          <w:rFonts w:hint="eastAsia" w:ascii="宋体" w:hAnsi="宋体"/>
          <w:color w:val="auto"/>
          <w:sz w:val="24"/>
        </w:rPr>
        <w:t>参加同一合同项下投标的，以其中通过资格审查、符合性审查且报价最低的参加评标；报价相同的，由采购人或者采购人委托评标委员会采取随机抽取方式确定一个参加评标的</w:t>
      </w:r>
      <w:r>
        <w:rPr>
          <w:rFonts w:hint="eastAsia" w:ascii="宋体" w:hAnsi="宋体"/>
          <w:color w:val="auto"/>
          <w:sz w:val="24"/>
          <w:lang w:eastAsia="zh-CN"/>
        </w:rPr>
        <w:t>投标人</w:t>
      </w:r>
      <w:r>
        <w:rPr>
          <w:rFonts w:hint="eastAsia" w:ascii="宋体" w:hAnsi="宋体"/>
          <w:color w:val="auto"/>
          <w:sz w:val="24"/>
        </w:rPr>
        <w:t>，其他投标无效。</w:t>
      </w:r>
    </w:p>
    <w:p w14:paraId="34D3745E">
      <w:pPr>
        <w:spacing w:line="360" w:lineRule="auto"/>
        <w:ind w:firstLine="480" w:firstLineChars="200"/>
        <w:contextualSpacing/>
        <w:jc w:val="left"/>
        <w:rPr>
          <w:rFonts w:ascii="宋体" w:hAnsi="宋体"/>
          <w:color w:val="auto"/>
          <w:sz w:val="24"/>
        </w:rPr>
      </w:pPr>
      <w:r>
        <w:rPr>
          <w:rFonts w:hint="eastAsia" w:ascii="宋体" w:hAnsi="宋体"/>
          <w:color w:val="auto"/>
          <w:sz w:val="24"/>
        </w:rPr>
        <w:t>采用综合评分法的，提供相同品牌产品（非单一产品采购项目，多家</w:t>
      </w:r>
      <w:r>
        <w:rPr>
          <w:rFonts w:hint="eastAsia" w:ascii="宋体" w:hAnsi="宋体"/>
          <w:color w:val="auto"/>
          <w:sz w:val="24"/>
          <w:lang w:eastAsia="zh-CN"/>
        </w:rPr>
        <w:t>投标人</w:t>
      </w:r>
      <w:r>
        <w:rPr>
          <w:rFonts w:hint="eastAsia" w:ascii="宋体" w:hAnsi="宋体"/>
          <w:color w:val="auto"/>
          <w:sz w:val="24"/>
        </w:rPr>
        <w:t>提供的核心产品品牌相同）且通过资格审查、符合性审查的不同</w:t>
      </w:r>
      <w:r>
        <w:rPr>
          <w:rFonts w:hint="eastAsia" w:ascii="宋体" w:hAnsi="宋体"/>
          <w:color w:val="auto"/>
          <w:sz w:val="24"/>
          <w:lang w:eastAsia="zh-CN"/>
        </w:rPr>
        <w:t>投标人</w:t>
      </w:r>
      <w:r>
        <w:rPr>
          <w:rFonts w:hint="eastAsia" w:ascii="宋体" w:hAnsi="宋体"/>
          <w:color w:val="auto"/>
          <w:sz w:val="24"/>
        </w:rPr>
        <w:t>参加同一合同项下投标的，按一家</w:t>
      </w:r>
      <w:r>
        <w:rPr>
          <w:rFonts w:hint="eastAsia" w:ascii="宋体" w:hAnsi="宋体"/>
          <w:color w:val="auto"/>
          <w:sz w:val="24"/>
          <w:lang w:eastAsia="zh-CN"/>
        </w:rPr>
        <w:t>投标人</w:t>
      </w:r>
      <w:r>
        <w:rPr>
          <w:rFonts w:hint="eastAsia" w:ascii="宋体" w:hAnsi="宋体"/>
          <w:color w:val="auto"/>
          <w:sz w:val="24"/>
        </w:rPr>
        <w:t>计算，评审后得分最高的同品牌</w:t>
      </w:r>
      <w:r>
        <w:rPr>
          <w:rFonts w:hint="eastAsia" w:ascii="宋体" w:hAnsi="宋体"/>
          <w:color w:val="auto"/>
          <w:sz w:val="24"/>
          <w:lang w:eastAsia="zh-CN"/>
        </w:rPr>
        <w:t>投标人</w:t>
      </w:r>
      <w:r>
        <w:rPr>
          <w:rFonts w:hint="eastAsia" w:ascii="宋体" w:hAnsi="宋体"/>
          <w:color w:val="auto"/>
          <w:sz w:val="24"/>
        </w:rPr>
        <w:t>作为中标候选人推荐；评审得分相同的，由采购人或者采购人委托评标委员会采取随机抽取方式确定一个</w:t>
      </w:r>
      <w:r>
        <w:rPr>
          <w:rFonts w:hint="eastAsia" w:ascii="宋体" w:hAnsi="宋体"/>
          <w:color w:val="auto"/>
          <w:sz w:val="24"/>
          <w:lang w:eastAsia="zh-CN"/>
        </w:rPr>
        <w:t>投标人</w:t>
      </w:r>
      <w:r>
        <w:rPr>
          <w:rFonts w:hint="eastAsia" w:ascii="宋体" w:hAnsi="宋体"/>
          <w:color w:val="auto"/>
          <w:sz w:val="24"/>
        </w:rPr>
        <w:t>获得中标人推荐资格，其他同品牌</w:t>
      </w:r>
      <w:r>
        <w:rPr>
          <w:rFonts w:hint="eastAsia" w:ascii="宋体" w:hAnsi="宋体"/>
          <w:color w:val="auto"/>
          <w:sz w:val="24"/>
          <w:lang w:eastAsia="zh-CN"/>
        </w:rPr>
        <w:t>投标人</w:t>
      </w:r>
      <w:r>
        <w:rPr>
          <w:rFonts w:hint="eastAsia" w:ascii="宋体" w:hAnsi="宋体"/>
          <w:color w:val="auto"/>
          <w:sz w:val="24"/>
        </w:rPr>
        <w:t>不作为中标候选人。</w:t>
      </w:r>
    </w:p>
    <w:p w14:paraId="6E27E0D0">
      <w:pPr>
        <w:pStyle w:val="24"/>
        <w:spacing w:line="360" w:lineRule="auto"/>
        <w:ind w:firstLine="354" w:firstLineChars="147"/>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（3）强制采购节能产品和优先采购节能产品、优先采购环保产品</w:t>
      </w:r>
    </w:p>
    <w:p w14:paraId="1719545B">
      <w:pPr>
        <w:pStyle w:val="24"/>
        <w:spacing w:line="360" w:lineRule="auto"/>
        <w:ind w:firstLine="465"/>
        <w:contextualSpacing/>
        <w:jc w:val="left"/>
        <w:rPr>
          <w:rFonts w:ascii="宋体" w:hAnsi="宋体" w:cs="仿宋_GB2312"/>
          <w:color w:val="auto"/>
          <w:sz w:val="24"/>
          <w:szCs w:val="24"/>
          <w:lang w:val="zh-CN"/>
        </w:rPr>
      </w:pPr>
      <w:r>
        <w:rPr>
          <w:rFonts w:hint="eastAsia" w:ascii="宋体" w:hAnsi="宋体" w:cs="仿宋_GB2312"/>
          <w:color w:val="auto"/>
          <w:sz w:val="24"/>
          <w:szCs w:val="24"/>
          <w:lang w:val="zh-CN"/>
        </w:rPr>
        <w:t>1）对《节能产品政府采购品目清单》所列的政府强制采购节能产品</w:t>
      </w:r>
      <w:r>
        <w:rPr>
          <w:rFonts w:hint="eastAsia" w:ascii="宋体" w:hAnsi="宋体" w:cs="仿宋_GB2312"/>
          <w:color w:val="auto"/>
          <w:sz w:val="24"/>
          <w:szCs w:val="24"/>
        </w:rPr>
        <w:t>，</w:t>
      </w:r>
      <w:r>
        <w:rPr>
          <w:rFonts w:hint="eastAsia" w:ascii="宋体" w:hAnsi="宋体" w:cs="仿宋_GB2312"/>
          <w:color w:val="auto"/>
          <w:sz w:val="24"/>
          <w:szCs w:val="24"/>
          <w:lang w:val="zh-CN"/>
        </w:rPr>
        <w:t>投标人投标文件中应提供具有国家确定的认证机构出具的、处于有效期之内的节能产品认证证书，否则将承担其投标被视为非实质性响应投标的风险。</w:t>
      </w:r>
    </w:p>
    <w:p w14:paraId="0D5368F9">
      <w:pPr>
        <w:pStyle w:val="24"/>
        <w:spacing w:line="360" w:lineRule="auto"/>
        <w:ind w:firstLine="465"/>
        <w:contextualSpacing/>
        <w:jc w:val="left"/>
        <w:rPr>
          <w:rFonts w:ascii="宋体" w:hAnsi="宋体" w:cs="仿宋_GB2312"/>
          <w:color w:val="auto"/>
          <w:sz w:val="24"/>
          <w:szCs w:val="24"/>
          <w:lang w:val="zh-CN"/>
        </w:rPr>
      </w:pPr>
      <w:r>
        <w:rPr>
          <w:rFonts w:hint="eastAsia" w:ascii="宋体" w:hAnsi="宋体" w:cs="仿宋_GB2312"/>
          <w:color w:val="auto"/>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5B2DC34A">
      <w:pPr>
        <w:pStyle w:val="24"/>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2F8A0277">
      <w:pPr>
        <w:spacing w:line="360" w:lineRule="auto"/>
        <w:ind w:firstLine="482" w:firstLineChars="200"/>
        <w:contextualSpacing/>
        <w:rPr>
          <w:rFonts w:ascii="宋体" w:hAnsi="宋体" w:cs="宋体"/>
          <w:b/>
          <w:bCs/>
          <w:color w:val="auto"/>
          <w:sz w:val="24"/>
          <w:szCs w:val="24"/>
          <w:lang w:val="zh-CN"/>
        </w:rPr>
      </w:pPr>
      <w:r>
        <w:rPr>
          <w:rFonts w:hint="eastAsia" w:ascii="宋体" w:hAnsi="宋体" w:cs="宋体"/>
          <w:b/>
          <w:bCs/>
          <w:color w:val="auto"/>
          <w:sz w:val="24"/>
          <w:szCs w:val="24"/>
          <w:lang w:val="zh-CN"/>
        </w:rPr>
        <w:t>（4）网络关键设备、网络安全专用产品要求</w:t>
      </w:r>
    </w:p>
    <w:p w14:paraId="0C3D2F73">
      <w:pPr>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 xml:space="preserve"> 1）项目中涉及网络关键设备或网络安全专用产品的，至少符合以下条件之一：一是已由具备 资格的机构安全认证合格或安全检测符合要求；二是已获得《计算机信息系统安全专用产品销售许可证》，且在有效期内。</w:t>
      </w:r>
    </w:p>
    <w:p w14:paraId="2A565AD6">
      <w:pPr>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提供资料（下列资料任意一项）</w:t>
      </w:r>
    </w:p>
    <w:p w14:paraId="1563ECEF">
      <w:pPr>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①网络关键设备和网络安全专用产品安全认证证书；</w:t>
      </w:r>
    </w:p>
    <w:p w14:paraId="7CA6D7EE">
      <w:pPr>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②网络关键设备安全检测证书、网络安全专用产品安全检测证书；</w:t>
      </w:r>
    </w:p>
    <w:p w14:paraId="148A76F0">
      <w:pPr>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③计算机信息系统安全专用产品销售许可证；</w:t>
      </w:r>
    </w:p>
    <w:p w14:paraId="756E3352">
      <w:pPr>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④中国网信网或工业和信息化部网站或公安部网站或国家认证认可监督管理委 员会网站公布的认证、检测结果（提供公布安全认证、安全检测结果页面网址和安全 认证、检测结果截图）。</w:t>
      </w:r>
    </w:p>
    <w:p w14:paraId="54A1ABA3">
      <w:pPr>
        <w:spacing w:line="360" w:lineRule="auto"/>
        <w:ind w:firstLine="482" w:firstLineChars="200"/>
        <w:contextualSpacing/>
        <w:rPr>
          <w:rFonts w:ascii="宋体" w:hAnsi="宋体" w:cs="宋体"/>
          <w:b/>
          <w:color w:val="auto"/>
          <w:kern w:val="0"/>
          <w:sz w:val="24"/>
          <w:szCs w:val="24"/>
          <w:lang w:val="zh-CN"/>
        </w:rPr>
      </w:pPr>
      <w:r>
        <w:rPr>
          <w:rFonts w:hint="eastAsia" w:ascii="宋体" w:hAnsi="宋体" w:cs="宋体"/>
          <w:b/>
          <w:color w:val="auto"/>
          <w:kern w:val="0"/>
          <w:sz w:val="24"/>
          <w:szCs w:val="24"/>
          <w:lang w:val="zh-CN"/>
        </w:rPr>
        <w:t>（</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lang w:val="zh-CN"/>
        </w:rPr>
        <w:t>）投标无效情形</w:t>
      </w:r>
    </w:p>
    <w:p w14:paraId="6FC6A1D9">
      <w:pPr>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74EBA82D">
      <w:pPr>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2）符合性审查资料未按招标文件要求签署、盖章的；</w:t>
      </w:r>
    </w:p>
    <w:p w14:paraId="6616995D">
      <w:pPr>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3）有下列情形之一的，视为投标人串通投标，其投标无效：</w:t>
      </w:r>
    </w:p>
    <w:p w14:paraId="6908C88B">
      <w:pPr>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a.不同投标人的投标文件由同一单位或者个人编制；</w:t>
      </w:r>
    </w:p>
    <w:p w14:paraId="01400641">
      <w:pPr>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b.不同投标人委托同一单位或者个人办理投标事宜；</w:t>
      </w:r>
    </w:p>
    <w:p w14:paraId="4BC9A73B">
      <w:pPr>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c.不同投标人的投标文件载明的项目管理成员或者联系人员为同一人；</w:t>
      </w:r>
    </w:p>
    <w:p w14:paraId="1F1E80A5">
      <w:pPr>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d.不同投标人的投标文件异常一致或者投标报价呈规律性差异。</w:t>
      </w:r>
    </w:p>
    <w:p w14:paraId="242EC3CE">
      <w:pPr>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12FF74">
      <w:pPr>
        <w:tabs>
          <w:tab w:val="left" w:pos="1260"/>
        </w:tabs>
        <w:autoSpaceDE w:val="0"/>
        <w:autoSpaceDN w:val="0"/>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lang w:val="zh-CN"/>
        </w:rPr>
        <w:t>5）</w:t>
      </w:r>
      <w:r>
        <w:rPr>
          <w:rFonts w:hint="eastAsia" w:ascii="宋体" w:hAnsi="宋体" w:cs="宋体"/>
          <w:b/>
          <w:color w:val="auto"/>
          <w:sz w:val="24"/>
          <w:szCs w:val="24"/>
        </w:rPr>
        <w:t>对投标文件进行一致性分析，分析投标文件是否有雷同现象，判定</w:t>
      </w:r>
      <w:r>
        <w:rPr>
          <w:rFonts w:hint="eastAsia" w:ascii="宋体" w:hAnsi="宋体" w:cs="宋体"/>
          <w:b/>
          <w:color w:val="auto"/>
          <w:sz w:val="24"/>
          <w:szCs w:val="24"/>
          <w:lang w:eastAsia="zh-CN"/>
        </w:rPr>
        <w:t>投标人</w:t>
      </w:r>
      <w:r>
        <w:rPr>
          <w:rFonts w:hint="eastAsia" w:ascii="宋体" w:hAnsi="宋体" w:cs="宋体"/>
          <w:b/>
          <w:color w:val="auto"/>
          <w:sz w:val="24"/>
          <w:szCs w:val="24"/>
        </w:rPr>
        <w:t>是否有串通投标行为。</w:t>
      </w:r>
    </w:p>
    <w:p w14:paraId="6C746703">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rPr>
        <w:t>6</w:t>
      </w:r>
      <w:r>
        <w:rPr>
          <w:rFonts w:hint="eastAsia" w:ascii="宋体" w:hAnsi="宋体" w:cs="宋体"/>
          <w:color w:val="auto"/>
          <w:sz w:val="24"/>
          <w:szCs w:val="24"/>
          <w:lang w:val="zh-CN"/>
        </w:rPr>
        <w:t>）法律、法规和招标文件规定的其他无效情形。</w:t>
      </w:r>
    </w:p>
    <w:p w14:paraId="14A729A5">
      <w:pPr>
        <w:spacing w:line="360" w:lineRule="auto"/>
        <w:ind w:firstLine="482" w:firstLineChars="200"/>
        <w:contextualSpacing/>
        <w:rPr>
          <w:rFonts w:ascii="宋体" w:hAnsi="宋体" w:cs="宋体"/>
          <w:b/>
          <w:color w:val="auto"/>
          <w:kern w:val="0"/>
          <w:sz w:val="24"/>
          <w:szCs w:val="24"/>
          <w:lang w:val="zh-CN"/>
        </w:rPr>
      </w:pPr>
      <w:r>
        <w:rPr>
          <w:rFonts w:hint="eastAsia" w:ascii="宋体" w:hAnsi="宋体" w:cs="宋体"/>
          <w:b/>
          <w:color w:val="auto"/>
          <w:kern w:val="0"/>
          <w:sz w:val="24"/>
          <w:szCs w:val="24"/>
          <w:lang w:val="zh-CN"/>
        </w:rPr>
        <w:t>7）不同</w:t>
      </w:r>
      <w:r>
        <w:rPr>
          <w:rFonts w:hint="eastAsia" w:ascii="宋体" w:hAnsi="宋体" w:cs="宋体"/>
          <w:b/>
          <w:color w:val="auto"/>
          <w:kern w:val="0"/>
          <w:sz w:val="24"/>
          <w:szCs w:val="24"/>
          <w:lang w:val="en-US" w:eastAsia="zh-CN"/>
        </w:rPr>
        <w:t>供应商</w:t>
      </w:r>
      <w:r>
        <w:rPr>
          <w:rFonts w:hint="eastAsia" w:ascii="宋体" w:hAnsi="宋体" w:cs="宋体"/>
          <w:b/>
          <w:color w:val="auto"/>
          <w:kern w:val="0"/>
          <w:sz w:val="24"/>
          <w:szCs w:val="24"/>
          <w:lang w:val="zh-CN"/>
        </w:rPr>
        <w:t>电子投标文件制作硬件特征码（网卡MAC地址、CPU序号、硬盘序列号）均一致时，视为“不同投标人的投标文件由同一单位或者个人编制” 或“不同投标人委托同一单位或者个人办理投标事宜”，其投标无效。</w:t>
      </w:r>
    </w:p>
    <w:p w14:paraId="3BB017B2">
      <w:pPr>
        <w:spacing w:line="360" w:lineRule="auto"/>
        <w:ind w:firstLine="482" w:firstLineChars="200"/>
        <w:contextualSpacing/>
        <w:rPr>
          <w:rFonts w:hint="eastAsia" w:ascii="宋体" w:hAnsi="宋体" w:cs="宋体"/>
          <w:b/>
          <w:color w:val="auto"/>
          <w:kern w:val="0"/>
          <w:sz w:val="24"/>
          <w:szCs w:val="24"/>
          <w:lang w:val="zh-CN"/>
        </w:rPr>
      </w:pPr>
      <w:r>
        <w:rPr>
          <w:rFonts w:hint="eastAsia" w:ascii="宋体" w:hAnsi="宋体" w:cs="宋体"/>
          <w:b/>
          <w:color w:val="auto"/>
          <w:kern w:val="0"/>
          <w:sz w:val="24"/>
          <w:szCs w:val="24"/>
          <w:lang w:val="zh-CN"/>
        </w:rPr>
        <w:t>评标专家应严格按照招标文件要求查看“硬件特征码”相关信息并进行评审，在评标报告中显示“不同投标人电子投标文件制作硬件特征码”是否雷同的分析及判定结果。</w:t>
      </w:r>
    </w:p>
    <w:p w14:paraId="0B74F9D6">
      <w:pPr>
        <w:spacing w:line="360" w:lineRule="auto"/>
        <w:ind w:firstLine="482" w:firstLineChars="200"/>
        <w:contextualSpacing/>
        <w:rPr>
          <w:rFonts w:hint="eastAsia" w:ascii="宋体" w:hAnsi="宋体" w:cs="宋体"/>
          <w:b/>
          <w:color w:val="auto"/>
          <w:kern w:val="0"/>
          <w:sz w:val="24"/>
          <w:szCs w:val="24"/>
          <w:lang w:val="zh-CN"/>
        </w:rPr>
      </w:pPr>
      <w:r>
        <w:rPr>
          <w:rFonts w:hint="eastAsia" w:ascii="宋体" w:hAnsi="宋体" w:cs="宋体"/>
          <w:b/>
          <w:color w:val="auto"/>
          <w:sz w:val="24"/>
          <w:szCs w:val="24"/>
          <w:lang w:val="zh-CN"/>
        </w:rPr>
        <w:t>（</w:t>
      </w:r>
      <w:r>
        <w:rPr>
          <w:rFonts w:hint="eastAsia" w:ascii="宋体" w:hAnsi="宋体" w:cs="宋体"/>
          <w:b/>
          <w:color w:val="auto"/>
          <w:sz w:val="24"/>
          <w:szCs w:val="24"/>
          <w:lang w:val="en-US" w:eastAsia="zh-CN"/>
        </w:rPr>
        <w:t>6</w:t>
      </w:r>
      <w:r>
        <w:rPr>
          <w:rFonts w:hint="eastAsia" w:ascii="宋体" w:hAnsi="宋体" w:cs="宋体"/>
          <w:b/>
          <w:color w:val="auto"/>
          <w:sz w:val="24"/>
          <w:szCs w:val="24"/>
          <w:lang w:val="zh-CN"/>
        </w:rPr>
        <w:t>）评标标准（适用于所有标段）</w:t>
      </w:r>
    </w:p>
    <w:p w14:paraId="07F1416C">
      <w:pPr>
        <w:widowControl/>
        <w:shd w:val="clear" w:color="auto" w:fill="FFFFFF"/>
        <w:spacing w:line="360" w:lineRule="auto"/>
        <w:ind w:firstLine="360" w:firstLineChars="150"/>
        <w:jc w:val="left"/>
        <w:rPr>
          <w:rFonts w:hint="eastAsia" w:ascii="宋体" w:hAnsi="宋体" w:eastAsia="MS Mincho" w:cs="MS Mincho"/>
          <w:color w:val="auto"/>
          <w:sz w:val="24"/>
          <w:szCs w:val="24"/>
          <w:lang w:val="zh-CN"/>
        </w:rPr>
      </w:pPr>
      <w:r>
        <w:rPr>
          <w:rFonts w:hint="eastAsia" w:ascii="宋体" w:hAnsi="宋体" w:cs="宋体"/>
          <w:color w:val="auto"/>
          <w:sz w:val="24"/>
          <w:szCs w:val="24"/>
          <w:lang w:val="zh-CN"/>
        </w:rPr>
        <w:t>（一）评标方法：最低评标价法□   综合评分法</w:t>
      </w:r>
      <w:r>
        <w:rPr>
          <w:rFonts w:hint="eastAsia" w:ascii="宋体" w:hAnsi="宋体" w:eastAsia="MS Mincho" w:cs="MS Mincho"/>
          <w:color w:val="auto"/>
          <w:sz w:val="24"/>
          <w:szCs w:val="24"/>
          <w:lang w:val="zh-CN"/>
        </w:rPr>
        <w:t>☑</w:t>
      </w:r>
    </w:p>
    <w:tbl>
      <w:tblPr>
        <w:tblStyle w:val="40"/>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6561"/>
        <w:gridCol w:w="747"/>
      </w:tblGrid>
      <w:tr w14:paraId="75BE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71" w:type="dxa"/>
            <w:tcBorders>
              <w:top w:val="single" w:color="auto" w:sz="4" w:space="0"/>
              <w:left w:val="single" w:color="auto" w:sz="4" w:space="0"/>
              <w:bottom w:val="single" w:color="auto" w:sz="4" w:space="0"/>
              <w:right w:val="single" w:color="auto" w:sz="4" w:space="0"/>
            </w:tcBorders>
            <w:noWrap/>
            <w:vAlign w:val="center"/>
          </w:tcPr>
          <w:p w14:paraId="267C4CB3">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jc w:val="center"/>
              <w:textAlignment w:val="auto"/>
              <w:rPr>
                <w:rFonts w:hint="default" w:ascii="Times New Roman" w:hAnsi="Times New Roman"/>
                <w:color w:val="auto"/>
                <w:sz w:val="21"/>
                <w:szCs w:val="21"/>
                <w:shd w:val="clear" w:color="auto" w:fill="FFFFFF"/>
              </w:rPr>
            </w:pPr>
            <w:bookmarkStart w:id="24" w:name="_Hlk67320967"/>
            <w:r>
              <w:rPr>
                <w:rFonts w:hint="default" w:ascii="Times New Roman" w:hAnsi="Times New Roman"/>
                <w:color w:val="auto"/>
                <w:sz w:val="21"/>
                <w:szCs w:val="21"/>
                <w:shd w:val="clear" w:color="auto" w:fill="FFFFFF"/>
              </w:rPr>
              <w:t>分值构成</w:t>
            </w:r>
          </w:p>
          <w:p w14:paraId="22F2C67E">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jc w:val="center"/>
              <w:textAlignment w:val="auto"/>
              <w:rPr>
                <w:rFonts w:hint="default" w:ascii="Times New Roman" w:hAnsi="Times New Roman"/>
                <w:color w:val="auto"/>
                <w:sz w:val="21"/>
                <w:szCs w:val="21"/>
                <w:shd w:val="clear" w:color="auto" w:fill="FFFFFF"/>
              </w:rPr>
            </w:pPr>
            <w:r>
              <w:rPr>
                <w:rFonts w:hint="default" w:ascii="Times New Roman" w:hAnsi="Times New Roman"/>
                <w:color w:val="auto"/>
                <w:sz w:val="21"/>
                <w:szCs w:val="21"/>
                <w:shd w:val="clear" w:color="auto" w:fill="FFFFFF"/>
              </w:rPr>
              <w:t>(总分100分)</w:t>
            </w:r>
          </w:p>
        </w:tc>
        <w:tc>
          <w:tcPr>
            <w:tcW w:w="7308" w:type="dxa"/>
            <w:gridSpan w:val="2"/>
            <w:tcBorders>
              <w:top w:val="single" w:color="auto" w:sz="4" w:space="0"/>
              <w:left w:val="nil"/>
              <w:bottom w:val="single" w:color="auto" w:sz="4" w:space="0"/>
              <w:right w:val="single" w:color="auto" w:sz="4" w:space="0"/>
            </w:tcBorders>
            <w:noWrap/>
            <w:vAlign w:val="center"/>
          </w:tcPr>
          <w:p w14:paraId="541215B7">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ind w:firstLine="420" w:firstLineChars="200"/>
              <w:jc w:val="both"/>
              <w:textAlignment w:val="auto"/>
              <w:rPr>
                <w:rFonts w:hint="eastAsia" w:ascii="宋体" w:hAnsi="宋体" w:eastAsia="宋体" w:cs="宋体"/>
                <w:color w:val="auto"/>
                <w:sz w:val="21"/>
                <w:szCs w:val="21"/>
              </w:rPr>
            </w:pPr>
            <w:r>
              <w:rPr>
                <w:rFonts w:hint="default"/>
                <w:color w:val="auto"/>
                <w:sz w:val="21"/>
                <w:szCs w:val="21"/>
              </w:rPr>
              <w:t>价格分值</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p w14:paraId="65E91CD8">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分</w:t>
            </w:r>
          </w:p>
          <w:p w14:paraId="5C6EFE50">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ind w:firstLine="420" w:firstLineChars="200"/>
              <w:jc w:val="both"/>
              <w:textAlignment w:val="auto"/>
              <w:rPr>
                <w:rFonts w:hint="default"/>
                <w:color w:val="auto"/>
                <w:sz w:val="21"/>
                <w:szCs w:val="21"/>
              </w:rPr>
            </w:pPr>
            <w:r>
              <w:rPr>
                <w:rFonts w:hint="eastAsia" w:ascii="宋体" w:hAnsi="宋体" w:eastAsia="宋体" w:cs="宋体"/>
                <w:color w:val="auto"/>
                <w:sz w:val="21"/>
                <w:szCs w:val="21"/>
              </w:rPr>
              <w:t>技术部分：</w:t>
            </w:r>
            <w:r>
              <w:rPr>
                <w:rFonts w:hint="eastAsia" w:ascii="宋体" w:hAnsi="宋体" w:cs="宋体"/>
                <w:color w:val="auto"/>
                <w:sz w:val="21"/>
                <w:szCs w:val="21"/>
                <w:lang w:val="en-US" w:eastAsia="zh-CN"/>
              </w:rPr>
              <w:t>60</w:t>
            </w:r>
            <w:r>
              <w:rPr>
                <w:rFonts w:hint="eastAsia" w:ascii="宋体" w:hAnsi="宋体" w:eastAsia="宋体" w:cs="宋体"/>
                <w:color w:val="auto"/>
                <w:sz w:val="21"/>
                <w:szCs w:val="21"/>
                <w:lang w:val="en-US" w:eastAsia="zh-CN"/>
              </w:rPr>
              <w:t>分</w:t>
            </w:r>
          </w:p>
        </w:tc>
      </w:tr>
      <w:tr w14:paraId="467D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14:paraId="4EB1AF83">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jc w:val="center"/>
              <w:textAlignment w:val="auto"/>
              <w:rPr>
                <w:rFonts w:hint="default" w:ascii="Times New Roman" w:hAnsi="Times New Roman"/>
                <w:color w:val="auto"/>
                <w:sz w:val="21"/>
                <w:szCs w:val="21"/>
                <w:shd w:val="clear" w:color="auto" w:fill="FFFFFF"/>
              </w:rPr>
            </w:pPr>
            <w:r>
              <w:rPr>
                <w:rFonts w:hint="eastAsia" w:ascii="宋体" w:hAnsi="宋体" w:eastAsia="宋体" w:cs="宋体"/>
                <w:bCs/>
                <w:color w:val="auto"/>
                <w:sz w:val="21"/>
                <w:szCs w:val="21"/>
                <w:shd w:val="clear" w:color="auto" w:fill="FFFFFF"/>
              </w:rPr>
              <w:t xml:space="preserve">价格部分（满分 </w:t>
            </w:r>
            <w:r>
              <w:rPr>
                <w:rFonts w:hint="eastAsia" w:ascii="宋体" w:hAnsi="宋体" w:cs="宋体"/>
                <w:bCs/>
                <w:color w:val="auto"/>
                <w:sz w:val="21"/>
                <w:szCs w:val="21"/>
                <w:shd w:val="clear" w:color="auto" w:fill="FFFFFF"/>
                <w:lang w:val="en-US" w:eastAsia="zh-CN"/>
              </w:rPr>
              <w:t>20</w:t>
            </w:r>
            <w:r>
              <w:rPr>
                <w:rFonts w:hint="eastAsia" w:ascii="宋体" w:hAnsi="宋体" w:eastAsia="宋体" w:cs="宋体"/>
                <w:bCs/>
                <w:color w:val="auto"/>
                <w:sz w:val="21"/>
                <w:szCs w:val="21"/>
                <w:shd w:val="clear" w:color="auto" w:fill="FFFFFF"/>
              </w:rPr>
              <w:t>分）</w:t>
            </w:r>
          </w:p>
        </w:tc>
      </w:tr>
      <w:tr w14:paraId="7A6A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71" w:type="dxa"/>
            <w:tcBorders>
              <w:top w:val="single" w:color="auto" w:sz="4" w:space="0"/>
              <w:left w:val="single" w:color="auto" w:sz="4" w:space="0"/>
              <w:bottom w:val="single" w:color="auto" w:sz="4" w:space="0"/>
              <w:right w:val="single" w:color="auto" w:sz="4" w:space="0"/>
            </w:tcBorders>
            <w:noWrap/>
            <w:vAlign w:val="center"/>
          </w:tcPr>
          <w:p w14:paraId="2639D4EA">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jc w:val="center"/>
              <w:textAlignment w:val="auto"/>
              <w:rPr>
                <w:rFonts w:hint="default" w:ascii="Times New Roman" w:hAnsi="Times New Roman"/>
                <w:bCs/>
                <w:color w:val="auto"/>
                <w:sz w:val="21"/>
                <w:szCs w:val="21"/>
                <w:shd w:val="clear" w:color="auto" w:fill="FFFFFF"/>
              </w:rPr>
            </w:pPr>
            <w:r>
              <w:rPr>
                <w:rFonts w:hint="default" w:ascii="Times New Roman" w:hAnsi="Times New Roman"/>
                <w:bCs/>
                <w:color w:val="auto"/>
                <w:sz w:val="21"/>
                <w:szCs w:val="21"/>
                <w:shd w:val="clear" w:color="auto" w:fill="FFFFFF"/>
              </w:rPr>
              <w:t>评分因素</w:t>
            </w:r>
          </w:p>
        </w:tc>
        <w:tc>
          <w:tcPr>
            <w:tcW w:w="6561" w:type="dxa"/>
            <w:tcBorders>
              <w:top w:val="single" w:color="auto" w:sz="4" w:space="0"/>
              <w:left w:val="nil"/>
              <w:bottom w:val="single" w:color="auto" w:sz="4" w:space="0"/>
              <w:right w:val="single" w:color="auto" w:sz="4" w:space="0"/>
            </w:tcBorders>
            <w:noWrap/>
            <w:vAlign w:val="center"/>
          </w:tcPr>
          <w:p w14:paraId="692316E2">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ind w:firstLine="2520" w:firstLineChars="1200"/>
              <w:jc w:val="left"/>
              <w:textAlignment w:val="auto"/>
              <w:rPr>
                <w:rFonts w:hint="default" w:ascii="Times New Roman" w:hAnsi="Times New Roman"/>
                <w:bCs/>
                <w:color w:val="auto"/>
                <w:sz w:val="21"/>
                <w:szCs w:val="21"/>
                <w:shd w:val="clear" w:color="auto" w:fill="FFFFFF"/>
              </w:rPr>
            </w:pPr>
            <w:r>
              <w:rPr>
                <w:rFonts w:hint="default" w:ascii="Times New Roman" w:hAnsi="Times New Roman"/>
                <w:bCs/>
                <w:color w:val="auto"/>
                <w:sz w:val="21"/>
                <w:szCs w:val="21"/>
                <w:shd w:val="clear" w:color="auto" w:fill="FFFFFF"/>
              </w:rPr>
              <w:t>评标标准</w:t>
            </w:r>
          </w:p>
        </w:tc>
        <w:tc>
          <w:tcPr>
            <w:tcW w:w="747" w:type="dxa"/>
            <w:tcBorders>
              <w:top w:val="single" w:color="auto" w:sz="4" w:space="0"/>
              <w:left w:val="nil"/>
              <w:bottom w:val="single" w:color="auto" w:sz="4" w:space="0"/>
              <w:right w:val="single" w:color="auto" w:sz="4" w:space="0"/>
            </w:tcBorders>
            <w:noWrap/>
            <w:vAlign w:val="center"/>
          </w:tcPr>
          <w:p w14:paraId="755DE3E8">
            <w:pPr>
              <w:keepNext w:val="0"/>
              <w:keepLines w:val="0"/>
              <w:pageBreakBefore w:val="0"/>
              <w:suppressLineNumbers w:val="0"/>
              <w:kinsoku/>
              <w:wordWrap/>
              <w:overflowPunct/>
              <w:topLinePunct w:val="0"/>
              <w:bidi w:val="0"/>
              <w:snapToGrid/>
              <w:spacing w:beforeAutospacing="0" w:afterAutospacing="0" w:line="360" w:lineRule="auto"/>
              <w:jc w:val="center"/>
              <w:textAlignment w:val="auto"/>
              <w:rPr>
                <w:rFonts w:hint="default" w:ascii="Times New Roman" w:hAnsi="Times New Roman"/>
                <w:bCs/>
                <w:color w:val="auto"/>
                <w:sz w:val="21"/>
                <w:szCs w:val="21"/>
              </w:rPr>
            </w:pPr>
            <w:r>
              <w:rPr>
                <w:rFonts w:hint="default" w:ascii="Times New Roman" w:hAnsi="Times New Roman"/>
                <w:bCs/>
                <w:color w:val="auto"/>
                <w:sz w:val="21"/>
                <w:szCs w:val="21"/>
                <w:shd w:val="clear" w:color="auto" w:fill="FFFFFF"/>
              </w:rPr>
              <w:t>分值</w:t>
            </w:r>
          </w:p>
        </w:tc>
      </w:tr>
      <w:tr w14:paraId="07D6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571" w:type="dxa"/>
            <w:tcBorders>
              <w:top w:val="single" w:color="auto" w:sz="4" w:space="0"/>
              <w:left w:val="single" w:color="auto" w:sz="4" w:space="0"/>
              <w:bottom w:val="single" w:color="auto" w:sz="4" w:space="0"/>
              <w:right w:val="single" w:color="auto" w:sz="4" w:space="0"/>
            </w:tcBorders>
            <w:noWrap/>
            <w:vAlign w:val="center"/>
          </w:tcPr>
          <w:p w14:paraId="423721D7">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投标报价</w:t>
            </w:r>
          </w:p>
          <w:p w14:paraId="57411FEB">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评分标准</w:t>
            </w:r>
          </w:p>
        </w:tc>
        <w:tc>
          <w:tcPr>
            <w:tcW w:w="6561" w:type="dxa"/>
            <w:tcBorders>
              <w:top w:val="single" w:color="auto" w:sz="4" w:space="0"/>
              <w:left w:val="nil"/>
              <w:bottom w:val="single" w:color="auto" w:sz="4" w:space="0"/>
              <w:right w:val="single" w:color="auto" w:sz="4" w:space="0"/>
            </w:tcBorders>
            <w:noWrap/>
            <w:vAlign w:val="center"/>
          </w:tcPr>
          <w:p w14:paraId="47F410A4">
            <w:pPr>
              <w:pStyle w:val="3"/>
              <w:keepNext w:val="0"/>
              <w:keepLines w:val="0"/>
              <w:pageBreakBefore w:val="0"/>
              <w:suppressLineNumbers w:val="0"/>
              <w:shd w:val="clear" w:color="auto" w:fill="auto"/>
              <w:kinsoku/>
              <w:wordWrap/>
              <w:overflowPunct/>
              <w:topLinePunct w:val="0"/>
              <w:bidi w:val="0"/>
              <w:adjustRightInd/>
              <w:snapToGrid/>
              <w:spacing w:beforeAutospacing="0" w:afterAutospacing="0" w:line="360" w:lineRule="auto"/>
              <w:ind w:left="0" w:leftChars="0" w:right="63"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价格分采用低价优先法计算，即满足</w:t>
            </w:r>
            <w:r>
              <w:rPr>
                <w:rFonts w:hint="eastAsia" w:ascii="宋体" w:cs="宋体"/>
                <w:color w:val="auto"/>
                <w:sz w:val="21"/>
                <w:szCs w:val="21"/>
                <w:lang w:val="en-US" w:eastAsia="zh-CN"/>
              </w:rPr>
              <w:t>招标</w:t>
            </w:r>
            <w:r>
              <w:rPr>
                <w:rFonts w:hint="eastAsia" w:ascii="宋体" w:hAnsi="宋体" w:eastAsia="宋体" w:cs="宋体"/>
                <w:color w:val="auto"/>
                <w:sz w:val="21"/>
                <w:szCs w:val="21"/>
                <w:lang w:val="en-US" w:eastAsia="zh-CN"/>
              </w:rPr>
              <w:t>文件要求且</w:t>
            </w:r>
            <w:r>
              <w:rPr>
                <w:rFonts w:hint="eastAsia" w:ascii="宋体" w:cs="宋体"/>
                <w:color w:val="auto"/>
                <w:sz w:val="21"/>
                <w:szCs w:val="21"/>
                <w:lang w:val="en-US" w:eastAsia="zh-CN"/>
              </w:rPr>
              <w:t>投标报价</w:t>
            </w:r>
            <w:r>
              <w:rPr>
                <w:rFonts w:hint="eastAsia" w:ascii="宋体" w:hAnsi="宋体" w:eastAsia="宋体" w:cs="宋体"/>
                <w:color w:val="auto"/>
                <w:sz w:val="21"/>
                <w:szCs w:val="21"/>
                <w:lang w:val="en-US" w:eastAsia="zh-CN"/>
              </w:rPr>
              <w:t>最低的报价为评标基准价，其评标价格分为满分。其他投标人的评标价格分统一按照下列公式计算：</w:t>
            </w:r>
          </w:p>
          <w:p w14:paraId="3F0764FB">
            <w:pPr>
              <w:pStyle w:val="3"/>
              <w:keepNext w:val="0"/>
              <w:keepLines w:val="0"/>
              <w:pageBreakBefore w:val="0"/>
              <w:suppressLineNumbers w:val="0"/>
              <w:shd w:val="clear" w:color="auto" w:fill="auto"/>
              <w:kinsoku/>
              <w:wordWrap/>
              <w:overflowPunct/>
              <w:topLinePunct w:val="0"/>
              <w:bidi w:val="0"/>
              <w:adjustRightInd/>
              <w:snapToGrid/>
              <w:spacing w:beforeAutospacing="0" w:afterAutospacing="0" w:line="360" w:lineRule="auto"/>
              <w:ind w:left="0" w:leftChars="0" w:right="63" w:rightChars="0"/>
              <w:jc w:val="left"/>
              <w:textAlignment w:val="auto"/>
              <w:rPr>
                <w:rFonts w:hint="eastAsia" w:ascii="宋体" w:cs="宋体"/>
                <w:color w:val="auto"/>
                <w:sz w:val="21"/>
                <w:szCs w:val="21"/>
                <w:lang w:val="en-US" w:eastAsia="zh-CN"/>
              </w:rPr>
            </w:pPr>
            <w:r>
              <w:rPr>
                <w:rFonts w:hint="eastAsia" w:ascii="宋体" w:cs="宋体"/>
                <w:color w:val="auto"/>
                <w:sz w:val="21"/>
                <w:szCs w:val="21"/>
                <w:lang w:val="en-US" w:eastAsia="zh-CN"/>
              </w:rPr>
              <w:t>投标报价</w:t>
            </w:r>
            <w:r>
              <w:rPr>
                <w:rFonts w:hint="eastAsia" w:ascii="宋体" w:hAnsi="宋体" w:eastAsia="宋体" w:cs="宋体"/>
                <w:color w:val="auto"/>
                <w:sz w:val="21"/>
                <w:szCs w:val="21"/>
                <w:lang w:val="en-US" w:eastAsia="zh-CN"/>
              </w:rPr>
              <w:t>评标价格得分</w:t>
            </w:r>
            <w:r>
              <w:rPr>
                <w:rFonts w:hint="eastAsia" w:ascii="宋体" w:cs="宋体"/>
                <w:color w:val="auto"/>
                <w:sz w:val="21"/>
                <w:szCs w:val="21"/>
                <w:lang w:val="en-US" w:eastAsia="zh-CN"/>
              </w:rPr>
              <w:t>（管线使用费第一阶梯）</w:t>
            </w:r>
            <w:r>
              <w:rPr>
                <w:rFonts w:hint="eastAsia" w:ascii="宋体" w:hAnsi="宋体" w:eastAsia="宋体" w:cs="宋体"/>
                <w:color w:val="auto"/>
                <w:sz w:val="21"/>
                <w:szCs w:val="21"/>
                <w:lang w:val="en-US" w:eastAsia="zh-CN"/>
              </w:rPr>
              <w:t>=(评标基准价</w:t>
            </w:r>
            <w:r>
              <w:rPr>
                <w:rFonts w:hint="eastAsia" w:ascii="宋体" w:cs="宋体"/>
                <w:color w:val="auto"/>
                <w:sz w:val="21"/>
                <w:szCs w:val="21"/>
                <w:lang w:val="en-US" w:eastAsia="zh-CN"/>
              </w:rPr>
              <w:t>（管线使用费第一阶梯）</w:t>
            </w:r>
            <w:r>
              <w:rPr>
                <w:rFonts w:hint="eastAsia" w:ascii="宋体" w:hAnsi="宋体" w:eastAsia="宋体" w:cs="宋体"/>
                <w:color w:val="auto"/>
                <w:sz w:val="21"/>
                <w:szCs w:val="21"/>
                <w:lang w:val="en-US" w:eastAsia="zh-CN"/>
              </w:rPr>
              <w:t>／</w:t>
            </w:r>
            <w:r>
              <w:rPr>
                <w:rFonts w:hint="eastAsia" w:ascii="宋体" w:cs="宋体"/>
                <w:color w:val="auto"/>
                <w:sz w:val="21"/>
                <w:szCs w:val="21"/>
                <w:lang w:val="en-US" w:eastAsia="zh-CN"/>
              </w:rPr>
              <w:t>投标报价（管线使用费第一阶梯）</w:t>
            </w:r>
            <w:r>
              <w:rPr>
                <w:rFonts w:hint="eastAsia" w:ascii="宋体" w:hAnsi="宋体" w:eastAsia="宋体" w:cs="宋体"/>
                <w:color w:val="auto"/>
                <w:sz w:val="21"/>
                <w:szCs w:val="21"/>
                <w:lang w:val="en-US" w:eastAsia="zh-CN"/>
              </w:rPr>
              <w:t>)×1</w:t>
            </w:r>
            <w:r>
              <w:rPr>
                <w:rFonts w:hint="eastAsia" w:ascii="宋体" w:cs="宋体"/>
                <w:color w:val="auto"/>
                <w:sz w:val="21"/>
                <w:szCs w:val="21"/>
                <w:lang w:val="en-US" w:eastAsia="zh-CN"/>
              </w:rPr>
              <w:t>0</w:t>
            </w:r>
          </w:p>
          <w:p w14:paraId="5716579F">
            <w:pPr>
              <w:pStyle w:val="3"/>
              <w:keepNext w:val="0"/>
              <w:keepLines w:val="0"/>
              <w:pageBreakBefore w:val="0"/>
              <w:suppressLineNumbers w:val="0"/>
              <w:shd w:val="clear" w:color="auto" w:fill="auto"/>
              <w:kinsoku/>
              <w:wordWrap/>
              <w:overflowPunct/>
              <w:topLinePunct w:val="0"/>
              <w:bidi w:val="0"/>
              <w:adjustRightInd/>
              <w:snapToGrid/>
              <w:spacing w:beforeAutospacing="0" w:afterAutospacing="0" w:line="360" w:lineRule="auto"/>
              <w:ind w:left="0" w:leftChars="0" w:right="63" w:rightChars="0"/>
              <w:jc w:val="left"/>
              <w:textAlignment w:val="auto"/>
              <w:rPr>
                <w:rFonts w:hint="default" w:ascii="宋体" w:cs="宋体"/>
                <w:color w:val="auto"/>
                <w:sz w:val="21"/>
                <w:szCs w:val="21"/>
                <w:lang w:val="en-US" w:eastAsia="zh-CN"/>
              </w:rPr>
            </w:pPr>
            <w:r>
              <w:rPr>
                <w:rFonts w:hint="eastAsia" w:ascii="宋体" w:cs="宋体"/>
                <w:color w:val="auto"/>
                <w:sz w:val="21"/>
                <w:szCs w:val="21"/>
                <w:lang w:val="en-US" w:eastAsia="zh-CN"/>
              </w:rPr>
              <w:t>投标报价</w:t>
            </w:r>
            <w:r>
              <w:rPr>
                <w:rFonts w:hint="eastAsia" w:ascii="宋体" w:hAnsi="宋体" w:eastAsia="宋体" w:cs="宋体"/>
                <w:color w:val="auto"/>
                <w:sz w:val="21"/>
                <w:szCs w:val="21"/>
                <w:lang w:val="en-US" w:eastAsia="zh-CN"/>
              </w:rPr>
              <w:t>评标价格得分</w:t>
            </w:r>
            <w:r>
              <w:rPr>
                <w:rFonts w:hint="eastAsia" w:ascii="宋体" w:cs="宋体"/>
                <w:color w:val="auto"/>
                <w:sz w:val="21"/>
                <w:szCs w:val="21"/>
                <w:lang w:val="en-US" w:eastAsia="zh-CN"/>
              </w:rPr>
              <w:t>（管线使用费第二阶梯）</w:t>
            </w:r>
            <w:r>
              <w:rPr>
                <w:rFonts w:hint="eastAsia" w:ascii="宋体" w:hAnsi="宋体" w:eastAsia="宋体" w:cs="宋体"/>
                <w:color w:val="auto"/>
                <w:sz w:val="21"/>
                <w:szCs w:val="21"/>
                <w:lang w:val="en-US" w:eastAsia="zh-CN"/>
              </w:rPr>
              <w:t>=(评标基准价</w:t>
            </w:r>
            <w:r>
              <w:rPr>
                <w:rFonts w:hint="eastAsia" w:ascii="宋体" w:cs="宋体"/>
                <w:color w:val="auto"/>
                <w:sz w:val="21"/>
                <w:szCs w:val="21"/>
                <w:lang w:val="en-US" w:eastAsia="zh-CN"/>
              </w:rPr>
              <w:t>（管线使用费第二阶梯）</w:t>
            </w:r>
            <w:r>
              <w:rPr>
                <w:rFonts w:hint="eastAsia" w:ascii="宋体" w:hAnsi="宋体" w:eastAsia="宋体" w:cs="宋体"/>
                <w:color w:val="auto"/>
                <w:sz w:val="21"/>
                <w:szCs w:val="21"/>
                <w:lang w:val="en-US" w:eastAsia="zh-CN"/>
              </w:rPr>
              <w:t>／</w:t>
            </w:r>
            <w:r>
              <w:rPr>
                <w:rFonts w:hint="eastAsia" w:ascii="宋体" w:cs="宋体"/>
                <w:color w:val="auto"/>
                <w:sz w:val="21"/>
                <w:szCs w:val="21"/>
                <w:lang w:val="en-US" w:eastAsia="zh-CN"/>
              </w:rPr>
              <w:t>投标报价（管线使用费第二阶梯）</w:t>
            </w:r>
            <w:r>
              <w:rPr>
                <w:rFonts w:hint="eastAsia" w:ascii="宋体" w:hAnsi="宋体" w:eastAsia="宋体" w:cs="宋体"/>
                <w:color w:val="auto"/>
                <w:sz w:val="21"/>
                <w:szCs w:val="21"/>
                <w:lang w:val="en-US" w:eastAsia="zh-CN"/>
              </w:rPr>
              <w:t>)×</w:t>
            </w:r>
            <w:r>
              <w:rPr>
                <w:rFonts w:hint="eastAsia" w:ascii="宋体" w:cs="宋体"/>
                <w:color w:val="auto"/>
                <w:sz w:val="21"/>
                <w:szCs w:val="21"/>
                <w:lang w:val="en-US" w:eastAsia="zh-CN"/>
              </w:rPr>
              <w:t>10</w:t>
            </w:r>
          </w:p>
          <w:p w14:paraId="2E6C9832">
            <w:pPr>
              <w:keepNext w:val="0"/>
              <w:keepLines w:val="0"/>
              <w:pageBreakBefore w:val="0"/>
              <w:kinsoku/>
              <w:wordWrap/>
              <w:overflowPunct/>
              <w:topLinePunct w:val="0"/>
              <w:bidi w:val="0"/>
              <w:snapToGrid/>
              <w:spacing w:line="360" w:lineRule="auto"/>
              <w:textAlignment w:val="auto"/>
              <w:rPr>
                <w:rFonts w:hint="eastAsia" w:eastAsia="宋体"/>
                <w:color w:val="auto"/>
                <w:lang w:eastAsia="zh-CN"/>
              </w:rPr>
            </w:pPr>
            <w:r>
              <w:rPr>
                <w:rFonts w:ascii="宋体"/>
                <w:color w:val="auto"/>
                <w:sz w:val="22"/>
                <w:szCs w:val="22"/>
                <w:highlight w:val="none"/>
              </w:rPr>
              <w:t>计算按四舍五入法则</w:t>
            </w:r>
            <w:r>
              <w:rPr>
                <w:rFonts w:hint="eastAsia" w:ascii="宋体"/>
                <w:color w:val="auto"/>
                <w:sz w:val="22"/>
                <w:szCs w:val="22"/>
                <w:highlight w:val="none"/>
                <w:lang w:eastAsia="zh-CN"/>
              </w:rPr>
              <w:t>，</w:t>
            </w:r>
            <w:r>
              <w:rPr>
                <w:rFonts w:ascii="宋体"/>
                <w:color w:val="auto"/>
                <w:sz w:val="22"/>
                <w:szCs w:val="22"/>
                <w:highlight w:val="none"/>
              </w:rPr>
              <w:t>保留小数点后两位</w:t>
            </w:r>
            <w:r>
              <w:rPr>
                <w:rFonts w:hint="eastAsia" w:ascii="宋体"/>
                <w:color w:val="auto"/>
                <w:sz w:val="22"/>
                <w:szCs w:val="22"/>
                <w:highlight w:val="none"/>
                <w:lang w:eastAsia="zh-CN"/>
              </w:rPr>
              <w:t>。</w:t>
            </w:r>
          </w:p>
        </w:tc>
        <w:tc>
          <w:tcPr>
            <w:tcW w:w="747" w:type="dxa"/>
            <w:tcBorders>
              <w:top w:val="single" w:color="auto" w:sz="4" w:space="0"/>
              <w:left w:val="nil"/>
              <w:bottom w:val="single" w:color="auto" w:sz="4" w:space="0"/>
              <w:right w:val="single" w:color="auto" w:sz="4" w:space="0"/>
            </w:tcBorders>
            <w:noWrap/>
            <w:vAlign w:val="center"/>
          </w:tcPr>
          <w:p w14:paraId="6642E3A9">
            <w:pPr>
              <w:keepNext w:val="0"/>
              <w:keepLines w:val="0"/>
              <w:pageBreakBefore w:val="0"/>
              <w:suppressLineNumbers w:val="0"/>
              <w:kinsoku/>
              <w:wordWrap/>
              <w:overflowPunct/>
              <w:topLinePunct w:val="0"/>
              <w:bidi w:val="0"/>
              <w:snapToGrid/>
              <w:spacing w:beforeAutospacing="0" w:afterAutospacing="0" w:line="36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tc>
      </w:tr>
      <w:tr w14:paraId="5850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14:paraId="3E796503">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jc w:val="center"/>
              <w:textAlignment w:val="auto"/>
              <w:rPr>
                <w:rFonts w:hint="default" w:ascii="Times New Roman" w:hAnsi="Times New Roman"/>
                <w:color w:val="auto"/>
                <w:sz w:val="21"/>
                <w:szCs w:val="21"/>
                <w:shd w:val="clear" w:color="auto" w:fill="FFFFFF"/>
              </w:rPr>
            </w:pPr>
            <w:r>
              <w:rPr>
                <w:rFonts w:hint="default" w:ascii="Times New Roman" w:hAnsi="Times New Roman"/>
                <w:bCs/>
                <w:color w:val="auto"/>
                <w:sz w:val="21"/>
                <w:szCs w:val="21"/>
                <w:shd w:val="clear" w:color="auto" w:fill="FFFFFF"/>
              </w:rPr>
              <w:t>商务部分（</w:t>
            </w:r>
            <w:r>
              <w:rPr>
                <w:rFonts w:hint="eastAsia" w:ascii="宋体" w:hAnsi="宋体" w:eastAsia="宋体" w:cs="宋体"/>
                <w:bCs/>
                <w:color w:val="auto"/>
                <w:sz w:val="21"/>
                <w:szCs w:val="21"/>
                <w:shd w:val="clear" w:color="auto" w:fill="FFFFFF"/>
              </w:rPr>
              <w:t>满分</w:t>
            </w:r>
            <w:r>
              <w:rPr>
                <w:rFonts w:hint="eastAsia" w:ascii="宋体" w:hAnsi="宋体" w:cs="宋体"/>
                <w:bCs/>
                <w:color w:val="auto"/>
                <w:sz w:val="21"/>
                <w:szCs w:val="21"/>
                <w:shd w:val="clear" w:color="auto" w:fill="FFFFFF"/>
                <w:lang w:val="en-US" w:eastAsia="zh-CN"/>
              </w:rPr>
              <w:t>20</w:t>
            </w:r>
            <w:r>
              <w:rPr>
                <w:rFonts w:hint="eastAsia" w:ascii="宋体" w:hAnsi="宋体" w:eastAsia="宋体" w:cs="宋体"/>
                <w:bCs/>
                <w:color w:val="auto"/>
                <w:sz w:val="21"/>
                <w:szCs w:val="21"/>
                <w:shd w:val="clear" w:color="auto" w:fill="FFFFFF"/>
              </w:rPr>
              <w:t>分）</w:t>
            </w:r>
          </w:p>
        </w:tc>
      </w:tr>
      <w:tr w14:paraId="15DA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top w:val="single" w:color="auto" w:sz="4" w:space="0"/>
              <w:left w:val="single" w:color="auto" w:sz="4" w:space="0"/>
              <w:bottom w:val="single" w:color="auto" w:sz="4" w:space="0"/>
              <w:right w:val="single" w:color="auto" w:sz="4" w:space="0"/>
            </w:tcBorders>
            <w:noWrap/>
            <w:vAlign w:val="center"/>
          </w:tcPr>
          <w:p w14:paraId="60BBBCF3">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jc w:val="center"/>
              <w:textAlignment w:val="auto"/>
              <w:rPr>
                <w:rFonts w:hint="default" w:ascii="Times New Roman" w:hAnsi="Times New Roman"/>
                <w:bCs/>
                <w:color w:val="auto"/>
                <w:sz w:val="21"/>
                <w:szCs w:val="21"/>
                <w:shd w:val="clear" w:color="auto" w:fill="FFFFFF"/>
              </w:rPr>
            </w:pPr>
            <w:r>
              <w:rPr>
                <w:rFonts w:hint="default" w:ascii="Times New Roman" w:hAnsi="Times New Roman"/>
                <w:bCs/>
                <w:color w:val="auto"/>
                <w:sz w:val="21"/>
                <w:szCs w:val="21"/>
                <w:shd w:val="clear" w:color="auto" w:fill="FFFFFF"/>
              </w:rPr>
              <w:t>评分因素</w:t>
            </w:r>
          </w:p>
        </w:tc>
        <w:tc>
          <w:tcPr>
            <w:tcW w:w="6561" w:type="dxa"/>
            <w:tcBorders>
              <w:top w:val="single" w:color="auto" w:sz="4" w:space="0"/>
              <w:left w:val="nil"/>
              <w:bottom w:val="single" w:color="auto" w:sz="4" w:space="0"/>
              <w:right w:val="single" w:color="auto" w:sz="4" w:space="0"/>
            </w:tcBorders>
            <w:noWrap/>
            <w:vAlign w:val="center"/>
          </w:tcPr>
          <w:p w14:paraId="5340C4E1">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ind w:firstLine="420" w:firstLineChars="200"/>
              <w:jc w:val="center"/>
              <w:textAlignment w:val="auto"/>
              <w:rPr>
                <w:rFonts w:hint="default" w:ascii="Times New Roman" w:hAnsi="Times New Roman"/>
                <w:bCs/>
                <w:color w:val="auto"/>
                <w:sz w:val="21"/>
                <w:szCs w:val="21"/>
                <w:shd w:val="clear" w:color="auto" w:fill="FFFFFF"/>
              </w:rPr>
            </w:pPr>
            <w:r>
              <w:rPr>
                <w:rFonts w:hint="default" w:ascii="Times New Roman" w:hAnsi="Times New Roman"/>
                <w:bCs/>
                <w:color w:val="auto"/>
                <w:sz w:val="21"/>
                <w:szCs w:val="21"/>
                <w:shd w:val="clear" w:color="auto" w:fill="FFFFFF"/>
              </w:rPr>
              <w:t>评标标准</w:t>
            </w:r>
          </w:p>
        </w:tc>
        <w:tc>
          <w:tcPr>
            <w:tcW w:w="747" w:type="dxa"/>
            <w:tcBorders>
              <w:top w:val="single" w:color="auto" w:sz="4" w:space="0"/>
              <w:left w:val="nil"/>
              <w:bottom w:val="single" w:color="auto" w:sz="4" w:space="0"/>
              <w:right w:val="single" w:color="auto" w:sz="4" w:space="0"/>
            </w:tcBorders>
            <w:noWrap/>
            <w:vAlign w:val="center"/>
          </w:tcPr>
          <w:p w14:paraId="3B92133B">
            <w:pPr>
              <w:keepNext w:val="0"/>
              <w:keepLines w:val="0"/>
              <w:pageBreakBefore w:val="0"/>
              <w:suppressLineNumbers w:val="0"/>
              <w:kinsoku/>
              <w:wordWrap/>
              <w:overflowPunct/>
              <w:topLinePunct w:val="0"/>
              <w:bidi w:val="0"/>
              <w:snapToGrid/>
              <w:spacing w:beforeAutospacing="0" w:afterAutospacing="0" w:line="360" w:lineRule="auto"/>
              <w:jc w:val="center"/>
              <w:textAlignment w:val="auto"/>
              <w:rPr>
                <w:rFonts w:hint="default" w:ascii="Times New Roman" w:hAnsi="Times New Roman"/>
                <w:bCs/>
                <w:color w:val="auto"/>
                <w:sz w:val="21"/>
                <w:szCs w:val="21"/>
              </w:rPr>
            </w:pPr>
            <w:r>
              <w:rPr>
                <w:rFonts w:hint="default" w:ascii="Times New Roman" w:hAnsi="Times New Roman"/>
                <w:bCs/>
                <w:color w:val="auto"/>
                <w:sz w:val="21"/>
                <w:szCs w:val="21"/>
                <w:shd w:val="clear" w:color="auto" w:fill="FFFFFF"/>
              </w:rPr>
              <w:t>分值</w:t>
            </w:r>
          </w:p>
        </w:tc>
      </w:tr>
      <w:tr w14:paraId="31C3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571" w:type="dxa"/>
            <w:tcBorders>
              <w:top w:val="single" w:color="auto" w:sz="4" w:space="0"/>
              <w:left w:val="single" w:color="auto" w:sz="4" w:space="0"/>
              <w:right w:val="single" w:color="auto" w:sz="4" w:space="0"/>
            </w:tcBorders>
            <w:noWrap/>
            <w:vAlign w:val="center"/>
          </w:tcPr>
          <w:p w14:paraId="38D3BFF8">
            <w:pPr>
              <w:keepNext w:val="0"/>
              <w:keepLines w:val="0"/>
              <w:pageBreakBefore w:val="0"/>
              <w:suppressLineNumbers w:val="0"/>
              <w:kinsoku/>
              <w:wordWrap/>
              <w:overflowPunct/>
              <w:topLinePunct w:val="0"/>
              <w:bidi w:val="0"/>
              <w:adjustRightInd/>
              <w:snapToGrid/>
              <w:spacing w:beforeAutospacing="0" w:afterAutospacing="0" w:line="360" w:lineRule="auto"/>
              <w:ind w:right="0"/>
              <w:jc w:val="center"/>
              <w:textAlignment w:val="auto"/>
              <w:rPr>
                <w:rFonts w:hint="default"/>
                <w:color w:val="auto"/>
              </w:rPr>
            </w:pPr>
            <w:r>
              <w:rPr>
                <w:rFonts w:hint="eastAsia" w:ascii="宋体" w:hAnsi="宋体" w:eastAsia="宋体" w:cs="宋体"/>
                <w:color w:val="auto"/>
              </w:rPr>
              <w:t>企业业绩</w:t>
            </w:r>
          </w:p>
        </w:tc>
        <w:tc>
          <w:tcPr>
            <w:tcW w:w="6561" w:type="dxa"/>
            <w:tcBorders>
              <w:top w:val="single" w:color="auto" w:sz="4" w:space="0"/>
              <w:left w:val="nil"/>
              <w:bottom w:val="single" w:color="auto" w:sz="4" w:space="0"/>
              <w:right w:val="single" w:color="auto" w:sz="4" w:space="0"/>
            </w:tcBorders>
            <w:noWrap/>
            <w:vAlign w:val="center"/>
          </w:tcPr>
          <w:p w14:paraId="12B9F64F">
            <w:pPr>
              <w:pStyle w:val="3"/>
              <w:keepNext w:val="0"/>
              <w:keepLines w:val="0"/>
              <w:pageBreakBefore w:val="0"/>
              <w:suppressLineNumbers w:val="0"/>
              <w:shd w:val="clear" w:color="auto" w:fill="auto"/>
              <w:kinsoku/>
              <w:wordWrap/>
              <w:overflowPunct/>
              <w:topLinePunct w:val="0"/>
              <w:bidi w:val="0"/>
              <w:adjustRightInd/>
              <w:snapToGrid/>
              <w:spacing w:beforeAutospacing="0" w:afterAutospacing="0" w:line="360" w:lineRule="auto"/>
              <w:ind w:left="0" w:leftChars="0" w:right="63"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1.投融资业绩：自2021年1月1日以来（以合同签订时间为准）具有类似投融资类业绩</w:t>
            </w:r>
            <w:r>
              <w:rPr>
                <w:rFonts w:hint="eastAsia" w:ascii="宋体" w:cs="宋体"/>
                <w:color w:val="auto"/>
                <w:sz w:val="21"/>
                <w:szCs w:val="21"/>
                <w:lang w:val="en-US" w:eastAsia="zh-CN"/>
              </w:rPr>
              <w:t>的</w:t>
            </w:r>
            <w:r>
              <w:rPr>
                <w:rFonts w:hint="eastAsia" w:ascii="宋体" w:hAnsi="宋体" w:eastAsia="宋体" w:cs="宋体"/>
                <w:color w:val="auto"/>
                <w:sz w:val="21"/>
                <w:szCs w:val="21"/>
                <w:lang w:val="en-US" w:eastAsia="zh-CN"/>
              </w:rPr>
              <w:t>每项得</w:t>
            </w:r>
            <w:r>
              <w:rPr>
                <w:rFonts w:hint="eastAsia" w:ascii="宋体" w:cs="宋体"/>
                <w:color w:val="auto"/>
                <w:sz w:val="21"/>
                <w:szCs w:val="21"/>
                <w:lang w:val="en-US" w:eastAsia="zh-CN"/>
              </w:rPr>
              <w:t>3</w:t>
            </w:r>
            <w:r>
              <w:rPr>
                <w:rFonts w:hint="eastAsia" w:ascii="宋体" w:hAnsi="宋体" w:eastAsia="宋体" w:cs="宋体"/>
                <w:color w:val="auto"/>
                <w:sz w:val="21"/>
                <w:szCs w:val="21"/>
                <w:lang w:val="en-US" w:eastAsia="zh-CN"/>
              </w:rPr>
              <w:t>分，最多得</w:t>
            </w:r>
            <w:r>
              <w:rPr>
                <w:rFonts w:hint="eastAsia" w:ascii="宋体" w:cs="宋体"/>
                <w:color w:val="auto"/>
                <w:sz w:val="21"/>
                <w:szCs w:val="21"/>
                <w:lang w:val="en-US" w:eastAsia="zh-CN"/>
              </w:rPr>
              <w:t>3</w:t>
            </w:r>
            <w:r>
              <w:rPr>
                <w:rFonts w:hint="eastAsia" w:ascii="宋体" w:hAnsi="宋体" w:eastAsia="宋体" w:cs="宋体"/>
                <w:color w:val="auto"/>
                <w:sz w:val="21"/>
                <w:szCs w:val="21"/>
                <w:lang w:val="en-US" w:eastAsia="zh-CN"/>
              </w:rPr>
              <w:t>分。（</w:t>
            </w:r>
            <w:r>
              <w:rPr>
                <w:rFonts w:hint="eastAsia" w:ascii="宋体" w:cs="宋体"/>
                <w:color w:val="auto"/>
                <w:sz w:val="21"/>
                <w:szCs w:val="21"/>
                <w:lang w:val="en-US" w:eastAsia="zh-CN"/>
              </w:rPr>
              <w:t>如为联合体，任意一方提供均可；</w:t>
            </w:r>
            <w:r>
              <w:rPr>
                <w:rFonts w:hint="eastAsia" w:ascii="宋体" w:hAnsi="宋体" w:eastAsia="宋体" w:cs="宋体"/>
                <w:color w:val="auto"/>
                <w:sz w:val="21"/>
                <w:szCs w:val="21"/>
                <w:lang w:val="en-US" w:eastAsia="zh-CN"/>
              </w:rPr>
              <w:t>证明文件须提供</w:t>
            </w:r>
            <w:r>
              <w:rPr>
                <w:rFonts w:hint="eastAsia" w:ascii="宋体" w:cs="宋体"/>
                <w:color w:val="auto"/>
                <w:sz w:val="21"/>
                <w:szCs w:val="21"/>
                <w:lang w:val="en-US" w:eastAsia="zh-CN"/>
              </w:rPr>
              <w:t>成交</w:t>
            </w:r>
            <w:r>
              <w:rPr>
                <w:rFonts w:hint="eastAsia" w:ascii="宋体" w:hAnsi="宋体" w:eastAsia="宋体" w:cs="宋体"/>
                <w:color w:val="auto"/>
                <w:sz w:val="21"/>
                <w:szCs w:val="21"/>
                <w:lang w:val="en-US" w:eastAsia="zh-CN"/>
              </w:rPr>
              <w:t>通知书</w:t>
            </w:r>
            <w:r>
              <w:rPr>
                <w:rFonts w:hint="eastAsia" w:ascii="宋体" w:cs="宋体"/>
                <w:color w:val="auto"/>
                <w:sz w:val="21"/>
                <w:szCs w:val="21"/>
                <w:lang w:val="en-US" w:eastAsia="zh-CN"/>
              </w:rPr>
              <w:t>及</w:t>
            </w:r>
            <w:r>
              <w:rPr>
                <w:rFonts w:hint="eastAsia" w:ascii="宋体" w:hAnsi="宋体" w:eastAsia="宋体" w:cs="宋体"/>
                <w:color w:val="auto"/>
                <w:sz w:val="21"/>
                <w:szCs w:val="21"/>
                <w:lang w:val="en-US" w:eastAsia="zh-CN"/>
              </w:rPr>
              <w:t>合同</w:t>
            </w:r>
            <w:r>
              <w:rPr>
                <w:rFonts w:hint="eastAsia" w:ascii="宋体" w:cs="宋体"/>
                <w:color w:val="auto"/>
                <w:sz w:val="21"/>
                <w:szCs w:val="21"/>
                <w:lang w:val="en-US" w:eastAsia="zh-CN"/>
              </w:rPr>
              <w:t>协议书</w:t>
            </w:r>
            <w:r>
              <w:rPr>
                <w:rFonts w:hint="eastAsia" w:ascii="宋体" w:hAnsi="宋体" w:eastAsia="宋体" w:cs="宋体"/>
                <w:color w:val="auto"/>
                <w:sz w:val="21"/>
                <w:szCs w:val="21"/>
                <w:lang w:val="en-US" w:eastAsia="zh-CN"/>
              </w:rPr>
              <w:t>扫描件，扫描件清晰可见，不清晰及缺项不得分）</w:t>
            </w:r>
          </w:p>
          <w:p w14:paraId="5E898A35">
            <w:pPr>
              <w:pStyle w:val="3"/>
              <w:keepNext w:val="0"/>
              <w:keepLines w:val="0"/>
              <w:pageBreakBefore w:val="0"/>
              <w:suppressLineNumbers w:val="0"/>
              <w:shd w:val="clear" w:color="auto" w:fill="auto"/>
              <w:kinsoku/>
              <w:wordWrap/>
              <w:overflowPunct/>
              <w:topLinePunct w:val="0"/>
              <w:bidi w:val="0"/>
              <w:adjustRightInd/>
              <w:snapToGrid/>
              <w:spacing w:beforeAutospacing="0" w:afterAutospacing="0" w:line="360" w:lineRule="auto"/>
              <w:ind w:left="0" w:leftChars="0" w:right="63" w:rightChars="0"/>
              <w:jc w:val="left"/>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w:t>
            </w:r>
            <w:r>
              <w:rPr>
                <w:rFonts w:hint="eastAsia" w:ascii="宋体" w:cs="宋体"/>
                <w:color w:val="auto"/>
                <w:sz w:val="21"/>
                <w:szCs w:val="21"/>
                <w:lang w:val="en-US" w:eastAsia="zh-CN"/>
              </w:rPr>
              <w:t>运营业绩：供应商具有类似运营业绩的每项得3分，最高得6分（如为联合体，任意一方提供均可；</w:t>
            </w:r>
            <w:r>
              <w:rPr>
                <w:rFonts w:hint="eastAsia" w:ascii="宋体" w:hAnsi="宋体" w:eastAsia="宋体" w:cs="宋体"/>
                <w:color w:val="auto"/>
                <w:sz w:val="21"/>
                <w:szCs w:val="21"/>
                <w:lang w:val="en-US" w:eastAsia="zh-CN"/>
              </w:rPr>
              <w:t>证明文件须提供</w:t>
            </w:r>
            <w:r>
              <w:rPr>
                <w:rFonts w:hint="eastAsia" w:ascii="宋体" w:cs="宋体"/>
                <w:color w:val="auto"/>
                <w:sz w:val="21"/>
                <w:szCs w:val="21"/>
                <w:lang w:val="en-US" w:eastAsia="zh-CN"/>
              </w:rPr>
              <w:t>成交</w:t>
            </w:r>
            <w:r>
              <w:rPr>
                <w:rFonts w:hint="eastAsia" w:ascii="宋体" w:hAnsi="宋体" w:eastAsia="宋体" w:cs="宋体"/>
                <w:color w:val="auto"/>
                <w:sz w:val="21"/>
                <w:szCs w:val="21"/>
                <w:lang w:val="en-US" w:eastAsia="zh-CN"/>
              </w:rPr>
              <w:t>通知书</w:t>
            </w:r>
            <w:r>
              <w:rPr>
                <w:rFonts w:hint="eastAsia" w:ascii="宋体" w:cs="宋体"/>
                <w:color w:val="auto"/>
                <w:sz w:val="21"/>
                <w:szCs w:val="21"/>
                <w:lang w:val="en-US" w:eastAsia="zh-CN"/>
              </w:rPr>
              <w:t>及</w:t>
            </w:r>
            <w:r>
              <w:rPr>
                <w:rFonts w:hint="eastAsia" w:ascii="宋体" w:hAnsi="宋体" w:eastAsia="宋体" w:cs="宋体"/>
                <w:color w:val="auto"/>
                <w:sz w:val="21"/>
                <w:szCs w:val="21"/>
                <w:lang w:val="en-US" w:eastAsia="zh-CN"/>
              </w:rPr>
              <w:t>合同</w:t>
            </w:r>
            <w:r>
              <w:rPr>
                <w:rFonts w:hint="eastAsia" w:ascii="宋体" w:cs="宋体"/>
                <w:color w:val="auto"/>
                <w:sz w:val="21"/>
                <w:szCs w:val="21"/>
                <w:lang w:val="en-US" w:eastAsia="zh-CN"/>
              </w:rPr>
              <w:t>协议书</w:t>
            </w:r>
            <w:r>
              <w:rPr>
                <w:rFonts w:hint="eastAsia" w:ascii="宋体" w:hAnsi="宋体" w:eastAsia="宋体" w:cs="宋体"/>
                <w:color w:val="auto"/>
                <w:sz w:val="21"/>
                <w:szCs w:val="21"/>
                <w:lang w:val="en-US" w:eastAsia="zh-CN"/>
              </w:rPr>
              <w:t>扫描件，扫描件清晰可见，不清晰及缺项不得分</w:t>
            </w:r>
            <w:r>
              <w:rPr>
                <w:rFonts w:hint="eastAsia" w:ascii="宋体" w:cs="宋体"/>
                <w:color w:val="auto"/>
                <w:sz w:val="21"/>
                <w:szCs w:val="21"/>
                <w:lang w:val="en-US" w:eastAsia="zh-CN"/>
              </w:rPr>
              <w:t>）</w:t>
            </w:r>
          </w:p>
          <w:p w14:paraId="531E2600">
            <w:pPr>
              <w:pStyle w:val="3"/>
              <w:keepNext w:val="0"/>
              <w:keepLines w:val="0"/>
              <w:pageBreakBefore w:val="0"/>
              <w:suppressLineNumbers w:val="0"/>
              <w:shd w:val="clear" w:color="auto" w:fill="auto"/>
              <w:kinsoku/>
              <w:wordWrap/>
              <w:overflowPunct/>
              <w:topLinePunct w:val="0"/>
              <w:bidi w:val="0"/>
              <w:adjustRightInd/>
              <w:snapToGrid/>
              <w:spacing w:beforeAutospacing="0" w:afterAutospacing="0" w:line="360" w:lineRule="auto"/>
              <w:ind w:left="0" w:leftChars="0" w:right="63" w:rightChars="0"/>
              <w:jc w:val="left"/>
              <w:textAlignment w:val="auto"/>
              <w:rPr>
                <w:rFonts w:hint="default" w:ascii="宋体" w:hAnsi="宋体" w:eastAsia="宋体" w:cs="宋体"/>
                <w:color w:val="auto"/>
                <w:sz w:val="21"/>
                <w:szCs w:val="21"/>
                <w:lang w:val="en-US" w:eastAsia="zh-CN"/>
              </w:rPr>
            </w:pPr>
            <w:r>
              <w:rPr>
                <w:rFonts w:hint="eastAsia" w:ascii="宋体" w:cs="宋体"/>
                <w:color w:val="auto"/>
                <w:sz w:val="21"/>
                <w:szCs w:val="21"/>
                <w:lang w:val="en-US" w:eastAsia="zh-CN"/>
              </w:rPr>
              <w:t>3.</w:t>
            </w:r>
            <w:r>
              <w:rPr>
                <w:rFonts w:hint="default" w:ascii="宋体" w:hAnsi="宋体" w:eastAsia="宋体" w:cs="宋体"/>
                <w:color w:val="auto"/>
                <w:sz w:val="21"/>
                <w:szCs w:val="21"/>
                <w:lang w:val="en-US" w:eastAsia="zh-CN"/>
              </w:rPr>
              <w:t>施工企业业绩：自2021年</w:t>
            </w:r>
            <w:r>
              <w:rPr>
                <w:rFonts w:hint="eastAsia" w:ascii="宋体" w:hAnsi="宋体" w:eastAsia="宋体" w:cs="宋体"/>
                <w:color w:val="auto"/>
                <w:sz w:val="21"/>
                <w:szCs w:val="21"/>
                <w:lang w:val="en-US" w:eastAsia="zh-CN"/>
              </w:rPr>
              <w:t>1</w:t>
            </w:r>
            <w:r>
              <w:rPr>
                <w:rFonts w:hint="default" w:ascii="宋体" w:hAnsi="宋体" w:eastAsia="宋体" w:cs="宋体"/>
                <w:color w:val="auto"/>
                <w:sz w:val="21"/>
                <w:szCs w:val="21"/>
                <w:lang w:val="en-US" w:eastAsia="zh-CN"/>
              </w:rPr>
              <w:t>月</w:t>
            </w:r>
            <w:r>
              <w:rPr>
                <w:rFonts w:hint="eastAsia" w:ascii="宋体" w:hAnsi="宋体" w:eastAsia="宋体" w:cs="宋体"/>
                <w:color w:val="auto"/>
                <w:sz w:val="21"/>
                <w:szCs w:val="21"/>
                <w:lang w:val="en-US" w:eastAsia="zh-CN"/>
              </w:rPr>
              <w:t>1日</w:t>
            </w:r>
            <w:r>
              <w:rPr>
                <w:rFonts w:hint="default" w:ascii="宋体" w:hAnsi="宋体" w:eastAsia="宋体" w:cs="宋体"/>
                <w:color w:val="auto"/>
                <w:sz w:val="21"/>
                <w:szCs w:val="21"/>
                <w:lang w:val="en-US" w:eastAsia="zh-CN"/>
              </w:rPr>
              <w:t>以来（以合同签订时间为准）具有类似</w:t>
            </w:r>
            <w:r>
              <w:rPr>
                <w:rFonts w:hint="eastAsia" w:ascii="宋体" w:cs="宋体"/>
                <w:color w:val="auto"/>
                <w:sz w:val="21"/>
                <w:szCs w:val="21"/>
                <w:lang w:val="en-US" w:eastAsia="zh-CN"/>
              </w:rPr>
              <w:t>水利工程项目</w:t>
            </w:r>
            <w:r>
              <w:rPr>
                <w:rFonts w:hint="default" w:ascii="宋体" w:hAnsi="宋体" w:eastAsia="宋体" w:cs="宋体"/>
                <w:color w:val="auto"/>
                <w:sz w:val="21"/>
                <w:szCs w:val="21"/>
                <w:lang w:val="en-US" w:eastAsia="zh-CN"/>
              </w:rPr>
              <w:t>业绩</w:t>
            </w:r>
            <w:r>
              <w:rPr>
                <w:rFonts w:hint="eastAsia" w:ascii="宋体" w:cs="宋体"/>
                <w:color w:val="auto"/>
                <w:sz w:val="21"/>
                <w:szCs w:val="21"/>
                <w:lang w:val="en-US" w:eastAsia="zh-CN"/>
              </w:rPr>
              <w:t>的</w:t>
            </w:r>
            <w:r>
              <w:rPr>
                <w:rFonts w:hint="default" w:ascii="宋体" w:hAnsi="宋体" w:eastAsia="宋体" w:cs="宋体"/>
                <w:color w:val="auto"/>
                <w:sz w:val="21"/>
                <w:szCs w:val="21"/>
                <w:lang w:val="en-US" w:eastAsia="zh-CN"/>
              </w:rPr>
              <w:t>每项得</w:t>
            </w:r>
            <w:r>
              <w:rPr>
                <w:rFonts w:hint="eastAsia" w:ascii="宋体" w:cs="宋体"/>
                <w:color w:val="auto"/>
                <w:sz w:val="21"/>
                <w:szCs w:val="21"/>
                <w:lang w:val="en-US" w:eastAsia="zh-CN"/>
              </w:rPr>
              <w:t>2</w:t>
            </w:r>
            <w:r>
              <w:rPr>
                <w:rFonts w:hint="default" w:ascii="宋体" w:hAnsi="宋体" w:eastAsia="宋体" w:cs="宋体"/>
                <w:color w:val="auto"/>
                <w:sz w:val="21"/>
                <w:szCs w:val="21"/>
                <w:lang w:val="en-US" w:eastAsia="zh-CN"/>
              </w:rPr>
              <w:t>分，最多加</w:t>
            </w:r>
            <w:r>
              <w:rPr>
                <w:rFonts w:hint="eastAsia" w:ascii="宋体" w:cs="宋体"/>
                <w:color w:val="auto"/>
                <w:sz w:val="21"/>
                <w:szCs w:val="21"/>
                <w:lang w:val="en-US" w:eastAsia="zh-CN"/>
              </w:rPr>
              <w:t>4</w:t>
            </w:r>
            <w:r>
              <w:rPr>
                <w:rFonts w:hint="default" w:ascii="宋体" w:hAnsi="宋体" w:eastAsia="宋体" w:cs="宋体"/>
                <w:color w:val="auto"/>
                <w:sz w:val="21"/>
                <w:szCs w:val="21"/>
                <w:lang w:val="en-US" w:eastAsia="zh-CN"/>
              </w:rPr>
              <w:t>分。（</w:t>
            </w:r>
            <w:r>
              <w:rPr>
                <w:rFonts w:hint="eastAsia" w:ascii="宋体" w:hAnsi="宋体" w:eastAsia="宋体" w:cs="宋体"/>
                <w:color w:val="auto"/>
                <w:sz w:val="21"/>
                <w:szCs w:val="21"/>
                <w:lang w:val="en-US" w:eastAsia="zh-CN"/>
              </w:rPr>
              <w:t>证明文件须提供</w:t>
            </w:r>
            <w:r>
              <w:rPr>
                <w:rFonts w:hint="eastAsia" w:ascii="宋体" w:cs="宋体"/>
                <w:color w:val="auto"/>
                <w:sz w:val="21"/>
                <w:szCs w:val="21"/>
                <w:lang w:val="en-US" w:eastAsia="zh-CN"/>
              </w:rPr>
              <w:t>成交</w:t>
            </w:r>
            <w:r>
              <w:rPr>
                <w:rFonts w:hint="eastAsia" w:ascii="宋体" w:hAnsi="宋体" w:eastAsia="宋体" w:cs="宋体"/>
                <w:color w:val="auto"/>
                <w:sz w:val="21"/>
                <w:szCs w:val="21"/>
                <w:lang w:val="en-US" w:eastAsia="zh-CN"/>
              </w:rPr>
              <w:t>通知书</w:t>
            </w:r>
            <w:r>
              <w:rPr>
                <w:rFonts w:hint="eastAsia" w:ascii="宋体" w:cs="宋体"/>
                <w:color w:val="auto"/>
                <w:sz w:val="21"/>
                <w:szCs w:val="21"/>
                <w:lang w:val="en-US" w:eastAsia="zh-CN"/>
              </w:rPr>
              <w:t>及</w:t>
            </w:r>
            <w:r>
              <w:rPr>
                <w:rFonts w:hint="eastAsia" w:ascii="宋体" w:hAnsi="宋体" w:eastAsia="宋体" w:cs="宋体"/>
                <w:color w:val="auto"/>
                <w:sz w:val="21"/>
                <w:szCs w:val="21"/>
                <w:lang w:val="en-US" w:eastAsia="zh-CN"/>
              </w:rPr>
              <w:t>合同</w:t>
            </w:r>
            <w:r>
              <w:rPr>
                <w:rFonts w:hint="eastAsia" w:ascii="宋体" w:cs="宋体"/>
                <w:color w:val="auto"/>
                <w:sz w:val="21"/>
                <w:szCs w:val="21"/>
                <w:lang w:val="en-US" w:eastAsia="zh-CN"/>
              </w:rPr>
              <w:t>协议书</w:t>
            </w:r>
            <w:r>
              <w:rPr>
                <w:rFonts w:hint="eastAsia" w:ascii="宋体" w:hAnsi="宋体" w:eastAsia="宋体" w:cs="宋体"/>
                <w:color w:val="auto"/>
                <w:sz w:val="21"/>
                <w:szCs w:val="21"/>
                <w:lang w:val="en-US" w:eastAsia="zh-CN"/>
              </w:rPr>
              <w:t>扫描件，扫描件清晰可见，不清晰及缺项不得分</w:t>
            </w:r>
            <w:r>
              <w:rPr>
                <w:rFonts w:hint="default" w:ascii="宋体" w:hAnsi="宋体" w:eastAsia="宋体" w:cs="宋体"/>
                <w:color w:val="auto"/>
                <w:sz w:val="21"/>
                <w:szCs w:val="21"/>
                <w:lang w:val="en-US" w:eastAsia="zh-CN"/>
              </w:rPr>
              <w:t>）</w:t>
            </w:r>
          </w:p>
          <w:p w14:paraId="2B687CEB">
            <w:pPr>
              <w:pStyle w:val="3"/>
              <w:keepNext w:val="0"/>
              <w:keepLines w:val="0"/>
              <w:pageBreakBefore w:val="0"/>
              <w:suppressLineNumbers w:val="0"/>
              <w:shd w:val="clear" w:color="auto" w:fill="auto"/>
              <w:kinsoku/>
              <w:wordWrap/>
              <w:overflowPunct/>
              <w:topLinePunct w:val="0"/>
              <w:bidi w:val="0"/>
              <w:adjustRightInd/>
              <w:snapToGrid/>
              <w:spacing w:beforeAutospacing="0" w:afterAutospacing="0" w:line="360" w:lineRule="auto"/>
              <w:ind w:left="0" w:leftChars="0" w:right="63" w:rightChars="0"/>
              <w:jc w:val="left"/>
              <w:textAlignment w:val="auto"/>
              <w:rPr>
                <w:rFonts w:hint="default" w:ascii="宋体" w:eastAsia="宋体" w:cs="宋体"/>
                <w:color w:val="auto"/>
                <w:sz w:val="21"/>
                <w:szCs w:val="21"/>
                <w:lang w:val="en-US" w:eastAsia="zh-CN"/>
              </w:rPr>
            </w:pPr>
            <w:r>
              <w:rPr>
                <w:rFonts w:hint="eastAsia" w:ascii="宋体" w:cs="宋体"/>
                <w:color w:val="auto"/>
                <w:sz w:val="21"/>
                <w:szCs w:val="21"/>
                <w:lang w:val="en-US" w:eastAsia="zh-CN"/>
              </w:rPr>
              <w:t>4.施工项目负责人业绩：自2021年1月1日以来（</w:t>
            </w:r>
            <w:r>
              <w:rPr>
                <w:rFonts w:hint="default" w:ascii="宋体" w:hAnsi="宋体" w:eastAsia="宋体" w:cs="宋体"/>
                <w:color w:val="auto"/>
                <w:sz w:val="21"/>
                <w:szCs w:val="21"/>
                <w:lang w:val="en-US" w:eastAsia="zh-CN"/>
              </w:rPr>
              <w:t>以合同签订时间为准</w:t>
            </w:r>
            <w:r>
              <w:rPr>
                <w:rFonts w:hint="eastAsia" w:ascii="宋体" w:cs="宋体"/>
                <w:color w:val="auto"/>
                <w:sz w:val="21"/>
                <w:szCs w:val="21"/>
                <w:lang w:val="en-US" w:eastAsia="zh-CN"/>
              </w:rPr>
              <w:t>）具有类似水利工程项目业绩的得2分；没有或者不提供不得分。</w:t>
            </w:r>
          </w:p>
          <w:p w14:paraId="6737AFC6">
            <w:pPr>
              <w:pStyle w:val="3"/>
              <w:keepNext w:val="0"/>
              <w:keepLines w:val="0"/>
              <w:pageBreakBefore w:val="0"/>
              <w:suppressLineNumbers w:val="0"/>
              <w:shd w:val="clear" w:color="auto" w:fill="auto"/>
              <w:kinsoku/>
              <w:wordWrap/>
              <w:overflowPunct/>
              <w:topLinePunct w:val="0"/>
              <w:bidi w:val="0"/>
              <w:adjustRightInd/>
              <w:snapToGrid/>
              <w:spacing w:beforeAutospacing="0" w:afterAutospacing="0" w:line="360" w:lineRule="auto"/>
              <w:ind w:left="0" w:leftChars="0" w:right="63" w:rightChars="0"/>
              <w:jc w:val="left"/>
              <w:textAlignment w:val="auto"/>
              <w:rPr>
                <w:rFonts w:hint="default" w:ascii="宋体" w:hAnsi="宋体" w:eastAsia="宋体" w:cs="宋体"/>
                <w:color w:val="auto"/>
                <w:sz w:val="21"/>
                <w:szCs w:val="21"/>
                <w:lang w:val="en-US" w:eastAsia="zh-CN"/>
              </w:rPr>
            </w:pPr>
            <w:r>
              <w:rPr>
                <w:rFonts w:hint="eastAsia" w:ascii="宋体" w:cs="宋体"/>
                <w:color w:val="auto"/>
                <w:sz w:val="21"/>
                <w:szCs w:val="21"/>
                <w:lang w:val="en-US" w:eastAsia="zh-CN"/>
              </w:rPr>
              <w:t>注：1）</w:t>
            </w:r>
            <w:r>
              <w:rPr>
                <w:rFonts w:hint="default" w:ascii="宋体" w:hAnsi="宋体" w:eastAsia="宋体" w:cs="宋体"/>
                <w:color w:val="auto"/>
                <w:sz w:val="21"/>
                <w:szCs w:val="21"/>
                <w:lang w:val="en-US" w:eastAsia="zh-CN"/>
              </w:rPr>
              <w:t>满足以上要求的业绩予以计分，同一项目不重复得分。</w:t>
            </w:r>
          </w:p>
          <w:p w14:paraId="73FAEE0B">
            <w:pPr>
              <w:pStyle w:val="3"/>
              <w:keepNext w:val="0"/>
              <w:keepLines w:val="0"/>
              <w:pageBreakBefore w:val="0"/>
              <w:suppressLineNumbers w:val="0"/>
              <w:shd w:val="clear" w:color="auto" w:fill="auto"/>
              <w:kinsoku/>
              <w:wordWrap/>
              <w:overflowPunct/>
              <w:topLinePunct w:val="0"/>
              <w:bidi w:val="0"/>
              <w:adjustRightInd/>
              <w:snapToGrid/>
              <w:spacing w:beforeAutospacing="0" w:afterAutospacing="0" w:line="360" w:lineRule="auto"/>
              <w:ind w:left="0" w:leftChars="0" w:right="63" w:rightChars="0"/>
              <w:jc w:val="left"/>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2）联合体参加投标的，</w:t>
            </w:r>
            <w:r>
              <w:rPr>
                <w:rFonts w:hint="eastAsia" w:ascii="宋体" w:cs="宋体"/>
                <w:color w:val="auto"/>
                <w:sz w:val="21"/>
                <w:szCs w:val="21"/>
                <w:lang w:val="en-US" w:eastAsia="zh-CN"/>
              </w:rPr>
              <w:t>施工相关业绩</w:t>
            </w:r>
            <w:r>
              <w:rPr>
                <w:rFonts w:hint="default" w:ascii="宋体" w:hAnsi="宋体" w:eastAsia="宋体" w:cs="宋体"/>
                <w:color w:val="auto"/>
                <w:sz w:val="21"/>
                <w:szCs w:val="21"/>
                <w:lang w:val="en-US" w:eastAsia="zh-CN"/>
              </w:rPr>
              <w:t>以联合体中承担施工职责的联合体成员提供的业绩为准。</w:t>
            </w:r>
          </w:p>
        </w:tc>
        <w:tc>
          <w:tcPr>
            <w:tcW w:w="747" w:type="dxa"/>
            <w:tcBorders>
              <w:top w:val="single" w:color="auto" w:sz="4" w:space="0"/>
              <w:left w:val="nil"/>
              <w:right w:val="single" w:color="auto" w:sz="4" w:space="0"/>
            </w:tcBorders>
            <w:noWrap/>
            <w:vAlign w:val="center"/>
          </w:tcPr>
          <w:p w14:paraId="7BF6BEBC">
            <w:pPr>
              <w:keepNext w:val="0"/>
              <w:keepLines w:val="0"/>
              <w:pageBreakBefore w:val="0"/>
              <w:suppressLineNumbers w:val="0"/>
              <w:kinsoku/>
              <w:wordWrap/>
              <w:overflowPunct/>
              <w:topLinePunct w:val="0"/>
              <w:bidi w:val="0"/>
              <w:snapToGrid/>
              <w:spacing w:beforeAutospacing="0" w:afterAutospacing="0" w:line="360" w:lineRule="auto"/>
              <w:jc w:val="center"/>
              <w:textAlignment w:val="auto"/>
              <w:rPr>
                <w:rFonts w:hint="default" w:ascii="Times New Roman" w:hAnsi="Times New Roman"/>
                <w:color w:val="auto"/>
                <w:sz w:val="21"/>
                <w:szCs w:val="21"/>
              </w:rPr>
            </w:pPr>
            <w:r>
              <w:rPr>
                <w:rFonts w:hint="eastAsia"/>
                <w:color w:val="auto"/>
                <w:sz w:val="21"/>
                <w:szCs w:val="21"/>
                <w:lang w:val="en-US" w:eastAsia="zh-CN"/>
              </w:rPr>
              <w:t>15</w:t>
            </w:r>
            <w:r>
              <w:rPr>
                <w:rFonts w:hint="default" w:ascii="Times New Roman" w:hAnsi="Times New Roman"/>
                <w:color w:val="auto"/>
                <w:sz w:val="21"/>
                <w:szCs w:val="21"/>
              </w:rPr>
              <w:t>分</w:t>
            </w:r>
          </w:p>
        </w:tc>
      </w:tr>
      <w:tr w14:paraId="3675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top w:val="single" w:color="auto" w:sz="4" w:space="0"/>
              <w:left w:val="single" w:color="auto" w:sz="4" w:space="0"/>
              <w:bottom w:val="single" w:color="auto" w:sz="4" w:space="0"/>
              <w:right w:val="single" w:color="auto" w:sz="4" w:space="0"/>
            </w:tcBorders>
            <w:noWrap/>
            <w:vAlign w:val="center"/>
          </w:tcPr>
          <w:p w14:paraId="064069B4">
            <w:pPr>
              <w:keepNext w:val="0"/>
              <w:keepLines w:val="0"/>
              <w:pageBreakBefore w:val="0"/>
              <w:widowControl/>
              <w:suppressLineNumbers w:val="0"/>
              <w:kinsoku/>
              <w:wordWrap/>
              <w:overflowPunct/>
              <w:topLinePunct w:val="0"/>
              <w:bidi w:val="0"/>
              <w:snapToGrid/>
              <w:spacing w:beforeAutospacing="0" w:after="0" w:afterAutospacing="0" w:line="36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信誉</w:t>
            </w:r>
          </w:p>
        </w:tc>
        <w:tc>
          <w:tcPr>
            <w:tcW w:w="6561" w:type="dxa"/>
            <w:tcBorders>
              <w:top w:val="single" w:color="auto" w:sz="4" w:space="0"/>
              <w:left w:val="nil"/>
              <w:bottom w:val="single" w:color="auto" w:sz="4" w:space="0"/>
              <w:right w:val="single" w:color="auto" w:sz="4" w:space="0"/>
            </w:tcBorders>
            <w:noWrap/>
            <w:vAlign w:val="center"/>
          </w:tcPr>
          <w:p w14:paraId="18360165">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Chars="0" w:right="0" w:rightChars="0"/>
              <w:jc w:val="left"/>
              <w:textAlignment w:val="auto"/>
              <w:rPr>
                <w:rFonts w:hint="eastAsia" w:ascii="宋体" w:hAnsi="宋体"/>
                <w:color w:val="auto"/>
                <w:kern w:val="0"/>
                <w:szCs w:val="21"/>
                <w:lang w:eastAsia="zh-CN"/>
              </w:rPr>
            </w:pPr>
            <w:r>
              <w:rPr>
                <w:rFonts w:hint="eastAsia" w:ascii="宋体" w:hAnsi="宋体"/>
                <w:color w:val="auto"/>
                <w:kern w:val="0"/>
                <w:szCs w:val="21"/>
                <w:lang w:val="en-US" w:eastAsia="zh-CN"/>
              </w:rPr>
              <w:t>1.</w:t>
            </w:r>
            <w:r>
              <w:rPr>
                <w:rFonts w:hint="eastAsia" w:ascii="宋体" w:hAnsi="宋体"/>
                <w:color w:val="auto"/>
                <w:kern w:val="0"/>
                <w:szCs w:val="21"/>
              </w:rPr>
              <w:t>投标人具有国家认证认可监督管理委员会认可的从业机构出具的有效期内IS09001质量管理体系认证证书、ISO14001环境管理体系认证证书、ISO45001职业健康安全管理体系认证证书</w:t>
            </w:r>
            <w:r>
              <w:rPr>
                <w:rFonts w:hint="eastAsia" w:ascii="宋体" w:hAnsi="宋体"/>
                <w:color w:val="auto"/>
                <w:kern w:val="0"/>
                <w:szCs w:val="21"/>
                <w:lang w:val="en-US" w:eastAsia="zh-CN"/>
              </w:rPr>
              <w:t>的</w:t>
            </w:r>
            <w:r>
              <w:rPr>
                <w:rFonts w:hint="eastAsia" w:ascii="宋体" w:hAnsi="宋体"/>
                <w:color w:val="auto"/>
                <w:kern w:val="0"/>
                <w:szCs w:val="21"/>
              </w:rPr>
              <w:t>得</w:t>
            </w:r>
            <w:r>
              <w:rPr>
                <w:rFonts w:hint="eastAsia" w:ascii="宋体" w:hAnsi="宋体"/>
                <w:color w:val="auto"/>
                <w:kern w:val="0"/>
                <w:szCs w:val="21"/>
                <w:lang w:val="en-US" w:eastAsia="zh-CN"/>
              </w:rPr>
              <w:t>2</w:t>
            </w:r>
            <w:r>
              <w:rPr>
                <w:rFonts w:hint="eastAsia" w:ascii="宋体" w:hAnsi="宋体"/>
                <w:color w:val="auto"/>
                <w:kern w:val="0"/>
                <w:szCs w:val="21"/>
              </w:rPr>
              <w:t>分，本项最高得</w:t>
            </w:r>
            <w:r>
              <w:rPr>
                <w:rFonts w:hint="eastAsia" w:ascii="宋体" w:hAnsi="宋体"/>
                <w:color w:val="auto"/>
                <w:kern w:val="0"/>
                <w:szCs w:val="21"/>
                <w:lang w:val="en-US" w:eastAsia="zh-CN"/>
              </w:rPr>
              <w:t>2</w:t>
            </w:r>
            <w:r>
              <w:rPr>
                <w:rFonts w:hint="eastAsia" w:ascii="宋体" w:hAnsi="宋体"/>
                <w:color w:val="auto"/>
                <w:kern w:val="0"/>
                <w:szCs w:val="21"/>
              </w:rPr>
              <w:t>分（如认证证书注明应进行年度监审，须附监审标识或年审报告等有关证明材料</w:t>
            </w:r>
            <w:r>
              <w:rPr>
                <w:rFonts w:hint="eastAsia" w:ascii="宋体" w:hAnsi="宋体"/>
                <w:color w:val="auto"/>
                <w:kern w:val="0"/>
                <w:szCs w:val="21"/>
                <w:lang w:eastAsia="zh-CN"/>
              </w:rPr>
              <w:t>。</w:t>
            </w:r>
          </w:p>
          <w:p w14:paraId="7020E7D7">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Chars="0"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color w:val="auto"/>
                <w:kern w:val="0"/>
                <w:szCs w:val="21"/>
                <w:lang w:val="en-US" w:eastAsia="zh-CN"/>
              </w:rPr>
              <w:t>2.2021年1月1日以来，获得过省级及以上“优质工程”（如中州杯、鲁班奖等）称号的（以获奖证书或者获奖红头文件的扫描件为准），每有一项得3分，满分3分</w:t>
            </w:r>
            <w:r>
              <w:rPr>
                <w:rFonts w:hint="eastAsia" w:ascii="宋体" w:hAnsi="宋体"/>
                <w:color w:val="auto"/>
                <w:kern w:val="0"/>
                <w:szCs w:val="21"/>
              </w:rPr>
              <w:t>。</w:t>
            </w:r>
            <w:r>
              <w:rPr>
                <w:rFonts w:hint="eastAsia" w:ascii="宋体" w:hAnsi="宋体"/>
                <w:color w:val="auto"/>
                <w:kern w:val="0"/>
                <w:szCs w:val="21"/>
                <w:lang w:eastAsia="zh-CN"/>
              </w:rPr>
              <w:t>（</w:t>
            </w:r>
            <w:r>
              <w:rPr>
                <w:rFonts w:hint="eastAsia" w:ascii="宋体" w:hAnsi="宋体"/>
                <w:color w:val="auto"/>
                <w:kern w:val="0"/>
                <w:szCs w:val="21"/>
                <w:lang w:val="en-US" w:eastAsia="zh-CN"/>
              </w:rPr>
              <w:t>如为联合体，</w:t>
            </w:r>
            <w:r>
              <w:rPr>
                <w:rFonts w:hint="default" w:ascii="宋体" w:hAnsi="宋体" w:eastAsia="宋体" w:cs="宋体"/>
                <w:color w:val="auto"/>
                <w:sz w:val="21"/>
                <w:szCs w:val="21"/>
                <w:lang w:val="en-US" w:eastAsia="zh-CN"/>
              </w:rPr>
              <w:t>以联合体中承担施工职责的联合体成员提供的业绩</w:t>
            </w:r>
            <w:r>
              <w:rPr>
                <w:rFonts w:hint="eastAsia" w:ascii="宋体" w:hAnsi="宋体"/>
                <w:color w:val="auto"/>
                <w:kern w:val="0"/>
                <w:szCs w:val="21"/>
                <w:lang w:eastAsia="zh-CN"/>
              </w:rPr>
              <w:t>）</w:t>
            </w:r>
          </w:p>
        </w:tc>
        <w:tc>
          <w:tcPr>
            <w:tcW w:w="747" w:type="dxa"/>
            <w:tcBorders>
              <w:top w:val="single" w:color="auto" w:sz="4" w:space="0"/>
              <w:left w:val="nil"/>
              <w:bottom w:val="single" w:color="auto" w:sz="4" w:space="0"/>
              <w:right w:val="single" w:color="auto" w:sz="4" w:space="0"/>
            </w:tcBorders>
            <w:noWrap/>
            <w:vAlign w:val="center"/>
          </w:tcPr>
          <w:p w14:paraId="3D2A88F8">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jc w:val="center"/>
              <w:textAlignment w:val="auto"/>
              <w:rPr>
                <w:rFonts w:hint="eastAsia"/>
                <w:color w:val="auto"/>
                <w:sz w:val="21"/>
                <w:szCs w:val="21"/>
                <w:shd w:val="clear" w:color="auto" w:fill="FFFFFF"/>
                <w:lang w:val="en-US" w:eastAsia="zh-CN"/>
              </w:rPr>
            </w:pPr>
            <w:r>
              <w:rPr>
                <w:rFonts w:hint="eastAsia"/>
                <w:color w:val="auto"/>
                <w:sz w:val="21"/>
                <w:szCs w:val="21"/>
                <w:lang w:val="en-US" w:eastAsia="zh-CN"/>
              </w:rPr>
              <w:t>5</w:t>
            </w:r>
            <w:r>
              <w:rPr>
                <w:rFonts w:hint="default" w:ascii="Times New Roman" w:hAnsi="Times New Roman"/>
                <w:color w:val="auto"/>
                <w:sz w:val="21"/>
                <w:szCs w:val="21"/>
              </w:rPr>
              <w:t>分</w:t>
            </w:r>
          </w:p>
        </w:tc>
      </w:tr>
      <w:tr w14:paraId="4BD4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14:paraId="65525ADB">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ind w:right="0"/>
              <w:jc w:val="center"/>
              <w:textAlignment w:val="auto"/>
              <w:rPr>
                <w:rFonts w:hint="default" w:ascii="Times New Roman" w:hAnsi="Times New Roman"/>
                <w:bCs/>
                <w:color w:val="auto"/>
                <w:sz w:val="21"/>
                <w:szCs w:val="21"/>
                <w:shd w:val="clear" w:color="auto" w:fill="FFFFFF"/>
              </w:rPr>
            </w:pPr>
            <w:r>
              <w:rPr>
                <w:rFonts w:hint="default" w:ascii="Times New Roman" w:hAnsi="Times New Roman"/>
                <w:bCs/>
                <w:color w:val="auto"/>
                <w:sz w:val="21"/>
                <w:szCs w:val="21"/>
                <w:shd w:val="clear" w:color="auto" w:fill="FFFFFF"/>
              </w:rPr>
              <w:t>技术部分（满分</w:t>
            </w:r>
            <w:r>
              <w:rPr>
                <w:rFonts w:hint="eastAsia"/>
                <w:bCs/>
                <w:color w:val="auto"/>
                <w:sz w:val="21"/>
                <w:szCs w:val="21"/>
                <w:shd w:val="clear" w:color="auto" w:fill="FFFFFF"/>
                <w:lang w:val="en-US" w:eastAsia="zh-CN"/>
              </w:rPr>
              <w:t>60</w:t>
            </w:r>
            <w:r>
              <w:rPr>
                <w:rFonts w:hint="default" w:ascii="Times New Roman" w:hAnsi="Times New Roman"/>
                <w:bCs/>
                <w:color w:val="auto"/>
                <w:sz w:val="21"/>
                <w:szCs w:val="21"/>
                <w:shd w:val="clear" w:color="auto" w:fill="FFFFFF"/>
              </w:rPr>
              <w:t>分）</w:t>
            </w:r>
          </w:p>
        </w:tc>
      </w:tr>
      <w:tr w14:paraId="322C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top w:val="single" w:color="auto" w:sz="4" w:space="0"/>
              <w:left w:val="single" w:color="auto" w:sz="4" w:space="0"/>
              <w:bottom w:val="single" w:color="auto" w:sz="4" w:space="0"/>
              <w:right w:val="single" w:color="auto" w:sz="4" w:space="0"/>
            </w:tcBorders>
            <w:noWrap/>
            <w:vAlign w:val="center"/>
          </w:tcPr>
          <w:p w14:paraId="1F3946F6">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ind w:right="0" w:firstLine="210" w:firstLineChars="100"/>
              <w:jc w:val="center"/>
              <w:textAlignment w:val="auto"/>
              <w:rPr>
                <w:rFonts w:hint="default" w:ascii="Times New Roman" w:hAnsi="Times New Roman"/>
                <w:bCs/>
                <w:color w:val="auto"/>
                <w:sz w:val="21"/>
                <w:szCs w:val="21"/>
                <w:shd w:val="clear" w:color="auto" w:fill="FFFFFF"/>
              </w:rPr>
            </w:pPr>
            <w:r>
              <w:rPr>
                <w:rFonts w:hint="default" w:ascii="Times New Roman" w:hAnsi="Times New Roman"/>
                <w:bCs/>
                <w:color w:val="auto"/>
                <w:sz w:val="21"/>
                <w:szCs w:val="21"/>
                <w:shd w:val="clear" w:color="auto" w:fill="FFFFFF"/>
              </w:rPr>
              <w:t>评分因素</w:t>
            </w:r>
          </w:p>
        </w:tc>
        <w:tc>
          <w:tcPr>
            <w:tcW w:w="6561" w:type="dxa"/>
            <w:tcBorders>
              <w:top w:val="single" w:color="auto" w:sz="4" w:space="0"/>
              <w:left w:val="nil"/>
              <w:bottom w:val="single" w:color="auto" w:sz="4" w:space="0"/>
              <w:right w:val="single" w:color="auto" w:sz="4" w:space="0"/>
            </w:tcBorders>
            <w:noWrap/>
            <w:vAlign w:val="center"/>
          </w:tcPr>
          <w:p w14:paraId="1FB3CDB7">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ind w:firstLine="2520" w:firstLineChars="1200"/>
              <w:jc w:val="left"/>
              <w:textAlignment w:val="auto"/>
              <w:rPr>
                <w:rFonts w:hint="default" w:ascii="Times New Roman" w:hAnsi="Times New Roman"/>
                <w:bCs/>
                <w:color w:val="auto"/>
                <w:sz w:val="21"/>
                <w:szCs w:val="21"/>
                <w:shd w:val="clear" w:color="auto" w:fill="FFFFFF"/>
              </w:rPr>
            </w:pPr>
            <w:r>
              <w:rPr>
                <w:rFonts w:hint="default" w:ascii="Times New Roman" w:hAnsi="Times New Roman"/>
                <w:bCs/>
                <w:color w:val="auto"/>
                <w:sz w:val="21"/>
                <w:szCs w:val="21"/>
                <w:shd w:val="clear" w:color="auto" w:fill="FFFFFF"/>
              </w:rPr>
              <w:t>评标标准</w:t>
            </w:r>
          </w:p>
        </w:tc>
        <w:tc>
          <w:tcPr>
            <w:tcW w:w="747" w:type="dxa"/>
            <w:tcBorders>
              <w:top w:val="single" w:color="auto" w:sz="4" w:space="0"/>
              <w:left w:val="nil"/>
              <w:bottom w:val="single" w:color="auto" w:sz="4" w:space="0"/>
              <w:right w:val="single" w:color="auto" w:sz="4" w:space="0"/>
            </w:tcBorders>
            <w:noWrap/>
            <w:vAlign w:val="center"/>
          </w:tcPr>
          <w:p w14:paraId="0728D206">
            <w:pPr>
              <w:keepNext w:val="0"/>
              <w:keepLines w:val="0"/>
              <w:pageBreakBefore w:val="0"/>
              <w:suppressLineNumbers w:val="0"/>
              <w:kinsoku/>
              <w:wordWrap/>
              <w:overflowPunct/>
              <w:topLinePunct w:val="0"/>
              <w:bidi w:val="0"/>
              <w:snapToGrid/>
              <w:spacing w:beforeAutospacing="0" w:afterAutospacing="0" w:line="360" w:lineRule="auto"/>
              <w:jc w:val="center"/>
              <w:textAlignment w:val="auto"/>
              <w:rPr>
                <w:rFonts w:hint="default" w:ascii="Times New Roman" w:hAnsi="Times New Roman"/>
                <w:bCs/>
                <w:color w:val="auto"/>
                <w:sz w:val="21"/>
                <w:szCs w:val="21"/>
              </w:rPr>
            </w:pPr>
            <w:r>
              <w:rPr>
                <w:rFonts w:hint="default" w:ascii="Times New Roman" w:hAnsi="Times New Roman"/>
                <w:bCs/>
                <w:color w:val="auto"/>
                <w:sz w:val="21"/>
                <w:szCs w:val="21"/>
                <w:shd w:val="clear" w:color="auto" w:fill="FFFFFF"/>
              </w:rPr>
              <w:t>分值</w:t>
            </w:r>
          </w:p>
        </w:tc>
      </w:tr>
      <w:tr w14:paraId="2055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top w:val="single" w:color="auto" w:sz="4" w:space="0"/>
              <w:left w:val="single" w:color="auto" w:sz="4" w:space="0"/>
              <w:bottom w:val="single" w:color="auto" w:sz="4" w:space="0"/>
              <w:right w:val="single" w:color="auto" w:sz="4" w:space="0"/>
            </w:tcBorders>
            <w:noWrap/>
            <w:vAlign w:val="center"/>
          </w:tcPr>
          <w:p w14:paraId="6250DE1E">
            <w:pPr>
              <w:pStyle w:val="157"/>
              <w:keepNext w:val="0"/>
              <w:keepLines w:val="0"/>
              <w:pageBreakBefore w:val="0"/>
              <w:suppressLineNumbers w:val="0"/>
              <w:shd w:val="clear" w:color="auto" w:fill="auto"/>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投融资方案</w:t>
            </w:r>
          </w:p>
        </w:tc>
        <w:tc>
          <w:tcPr>
            <w:tcW w:w="6561" w:type="dxa"/>
            <w:tcBorders>
              <w:top w:val="single" w:color="auto" w:sz="4" w:space="0"/>
              <w:left w:val="nil"/>
              <w:bottom w:val="single" w:color="auto" w:sz="4" w:space="0"/>
              <w:right w:val="single" w:color="auto" w:sz="4" w:space="0"/>
            </w:tcBorders>
            <w:noWrap/>
            <w:vAlign w:val="top"/>
          </w:tcPr>
          <w:p w14:paraId="010FA140">
            <w:pPr>
              <w:pStyle w:val="157"/>
              <w:keepNext w:val="0"/>
              <w:keepLines w:val="0"/>
              <w:pageBreakBefore w:val="0"/>
              <w:suppressLineNumbers w:val="0"/>
              <w:kinsoku/>
              <w:wordWrap/>
              <w:overflowPunct/>
              <w:topLinePunct w:val="0"/>
              <w:autoSpaceDE/>
              <w:autoSpaceDN/>
              <w:bidi w:val="0"/>
              <w:adjustRightInd/>
              <w:snapToGrid/>
              <w:spacing w:before="37" w:beforeAutospacing="0" w:afterAutospacing="0" w:line="360" w:lineRule="auto"/>
              <w:ind w:right="108" w:rightChars="0"/>
              <w:jc w:val="left"/>
              <w:textAlignment w:val="auto"/>
              <w:rPr>
                <w:rFonts w:hint="eastAsia" w:ascii="Times New Roman" w:hAnsi="Times New Roman" w:cs="Times New Roman"/>
                <w:color w:val="auto"/>
                <w:sz w:val="21"/>
                <w:szCs w:val="21"/>
                <w:lang w:val="zh-CN"/>
              </w:rPr>
            </w:pPr>
            <w:r>
              <w:rPr>
                <w:rFonts w:hint="eastAsia" w:ascii="宋体" w:hAnsi="宋体" w:eastAsia="宋体" w:cs="宋体"/>
                <w:color w:val="auto"/>
                <w:sz w:val="21"/>
                <w:szCs w:val="21"/>
                <w:lang w:eastAsia="zh-CN"/>
              </w:rPr>
              <w:t>根据投标人提供投融资方案(包括详述资金的来源和使用计划、</w:t>
            </w:r>
            <w:r>
              <w:rPr>
                <w:rFonts w:hint="eastAsia" w:cs="宋体"/>
                <w:color w:val="auto"/>
                <w:sz w:val="21"/>
                <w:szCs w:val="21"/>
                <w:lang w:val="en-US" w:eastAsia="zh-CN"/>
              </w:rPr>
              <w:t>与建设期进度匹配程度、</w:t>
            </w:r>
            <w:r>
              <w:rPr>
                <w:rFonts w:hint="eastAsia" w:ascii="宋体" w:hAnsi="宋体" w:eastAsia="宋体" w:cs="宋体"/>
                <w:color w:val="auto"/>
                <w:sz w:val="21"/>
                <w:szCs w:val="21"/>
                <w:lang w:eastAsia="zh-CN"/>
              </w:rPr>
              <w:t>项目风险分配的分析、资本结构</w:t>
            </w:r>
            <w:r>
              <w:rPr>
                <w:rFonts w:hint="eastAsia" w:cs="宋体"/>
                <w:color w:val="auto"/>
                <w:sz w:val="21"/>
                <w:szCs w:val="21"/>
                <w:lang w:val="en-US" w:eastAsia="zh-CN"/>
              </w:rPr>
              <w:t>及成本</w:t>
            </w:r>
            <w:r>
              <w:rPr>
                <w:rFonts w:hint="eastAsia" w:ascii="宋体" w:hAnsi="宋体" w:eastAsia="宋体" w:cs="宋体"/>
                <w:color w:val="auto"/>
                <w:sz w:val="21"/>
                <w:szCs w:val="21"/>
                <w:lang w:eastAsia="zh-CN"/>
              </w:rPr>
              <w:t>、预计融资交割时间</w:t>
            </w:r>
            <w:r>
              <w:rPr>
                <w:rFonts w:hint="eastAsia" w:cs="宋体"/>
                <w:color w:val="auto"/>
                <w:sz w:val="21"/>
                <w:szCs w:val="21"/>
                <w:lang w:eastAsia="zh-CN"/>
              </w:rPr>
              <w:t>、</w:t>
            </w:r>
            <w:r>
              <w:rPr>
                <w:rFonts w:hint="eastAsia" w:cs="宋体"/>
                <w:color w:val="auto"/>
                <w:sz w:val="21"/>
                <w:szCs w:val="21"/>
                <w:lang w:val="en-US" w:eastAsia="zh-CN"/>
              </w:rPr>
              <w:t>风险及预案控制措施</w:t>
            </w:r>
            <w:r>
              <w:rPr>
                <w:rFonts w:hint="eastAsia" w:ascii="宋体" w:hAnsi="宋体" w:eastAsia="宋体" w:cs="宋体"/>
                <w:color w:val="auto"/>
                <w:sz w:val="21"/>
                <w:szCs w:val="21"/>
                <w:lang w:eastAsia="zh-CN"/>
              </w:rPr>
              <w:t>等)进行综合评估，其中投融资方案内容全面、完整，详细可行，科学合理的得</w:t>
            </w:r>
            <w:r>
              <w:rPr>
                <w:rFonts w:hint="eastAsia" w:cs="宋体"/>
                <w:color w:val="auto"/>
                <w:sz w:val="21"/>
                <w:szCs w:val="21"/>
                <w:lang w:val="en-US" w:eastAsia="zh-CN"/>
              </w:rPr>
              <w:t>10</w:t>
            </w:r>
            <w:r>
              <w:rPr>
                <w:rFonts w:hint="eastAsia" w:ascii="宋体" w:hAnsi="宋体" w:eastAsia="宋体" w:cs="宋体"/>
                <w:color w:val="auto"/>
                <w:sz w:val="21"/>
                <w:szCs w:val="21"/>
                <w:lang w:eastAsia="zh-CN"/>
              </w:rPr>
              <w:t>分；投融资方案有简单描述</w:t>
            </w:r>
            <w:r>
              <w:rPr>
                <w:rFonts w:hint="eastAsia" w:cs="宋体"/>
                <w:color w:val="auto"/>
                <w:sz w:val="21"/>
                <w:szCs w:val="21"/>
                <w:lang w:eastAsia="zh-CN"/>
              </w:rPr>
              <w:t>且不缺项</w:t>
            </w:r>
            <w:r>
              <w:rPr>
                <w:rFonts w:hint="eastAsia" w:ascii="宋体" w:hAnsi="宋体" w:eastAsia="宋体" w:cs="宋体"/>
                <w:color w:val="auto"/>
                <w:sz w:val="21"/>
                <w:szCs w:val="21"/>
                <w:lang w:eastAsia="zh-CN"/>
              </w:rPr>
              <w:t>的得</w:t>
            </w:r>
            <w:r>
              <w:rPr>
                <w:rFonts w:hint="eastAsia" w:cs="宋体"/>
                <w:color w:val="auto"/>
                <w:sz w:val="21"/>
                <w:szCs w:val="21"/>
                <w:lang w:val="en-US" w:eastAsia="zh-CN"/>
              </w:rPr>
              <w:t>7</w:t>
            </w:r>
            <w:r>
              <w:rPr>
                <w:rFonts w:hint="eastAsia" w:ascii="宋体" w:hAnsi="宋体" w:eastAsia="宋体" w:cs="宋体"/>
                <w:color w:val="auto"/>
                <w:sz w:val="21"/>
                <w:szCs w:val="21"/>
                <w:lang w:eastAsia="zh-CN"/>
              </w:rPr>
              <w:t>分；缺项或不提供不得分。</w:t>
            </w:r>
          </w:p>
        </w:tc>
        <w:tc>
          <w:tcPr>
            <w:tcW w:w="747" w:type="dxa"/>
            <w:tcBorders>
              <w:top w:val="single" w:color="auto" w:sz="4" w:space="0"/>
              <w:left w:val="nil"/>
              <w:bottom w:val="single" w:color="auto" w:sz="4" w:space="0"/>
              <w:right w:val="single" w:color="auto" w:sz="4" w:space="0"/>
            </w:tcBorders>
            <w:noWrap/>
            <w:vAlign w:val="center"/>
          </w:tcPr>
          <w:p w14:paraId="2D78DAF4">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宋体"/>
                <w:bCs/>
                <w:color w:val="auto"/>
                <w:sz w:val="21"/>
                <w:szCs w:val="21"/>
                <w:shd w:val="clear" w:color="auto" w:fill="FFFFFF"/>
                <w:lang w:val="en-US" w:eastAsia="zh-CN"/>
              </w:rPr>
            </w:pPr>
            <w:r>
              <w:rPr>
                <w:rFonts w:hint="eastAsia" w:ascii="Times New Roman" w:hAnsi="Times New Roman"/>
                <w:bCs/>
                <w:color w:val="auto"/>
                <w:sz w:val="21"/>
                <w:szCs w:val="21"/>
                <w:shd w:val="clear" w:color="auto" w:fill="FFFFFF"/>
                <w:lang w:val="en-US" w:eastAsia="zh-CN"/>
              </w:rPr>
              <w:t>10分</w:t>
            </w:r>
          </w:p>
        </w:tc>
      </w:tr>
      <w:tr w14:paraId="6FC5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top w:val="single" w:color="auto" w:sz="4" w:space="0"/>
              <w:left w:val="single" w:color="auto" w:sz="4" w:space="0"/>
              <w:bottom w:val="single" w:color="auto" w:sz="4" w:space="0"/>
              <w:right w:val="single" w:color="auto" w:sz="4" w:space="0"/>
            </w:tcBorders>
            <w:noWrap/>
            <w:vAlign w:val="center"/>
          </w:tcPr>
          <w:p w14:paraId="4B65E7CD">
            <w:pPr>
              <w:pStyle w:val="157"/>
              <w:keepNext w:val="0"/>
              <w:keepLines w:val="0"/>
              <w:pageBreakBefore w:val="0"/>
              <w:suppressLineNumbers w:val="0"/>
              <w:shd w:val="clear" w:color="auto" w:fill="auto"/>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建设方案</w:t>
            </w:r>
          </w:p>
        </w:tc>
        <w:tc>
          <w:tcPr>
            <w:tcW w:w="6561" w:type="dxa"/>
            <w:tcBorders>
              <w:top w:val="single" w:color="auto" w:sz="4" w:space="0"/>
              <w:left w:val="nil"/>
              <w:bottom w:val="single" w:color="auto" w:sz="4" w:space="0"/>
              <w:right w:val="single" w:color="auto" w:sz="4" w:space="0"/>
            </w:tcBorders>
            <w:noWrap/>
            <w:vAlign w:val="top"/>
          </w:tcPr>
          <w:p w14:paraId="5405C763">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right="0" w:right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围绕本项目建设内容和采购需求合理组织项目建设，包括制定完善的施工部署方案、施工方案与技术措施</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eastAsia="zh-CN"/>
              </w:rPr>
              <w:t>工程进度计划</w:t>
            </w:r>
            <w:r>
              <w:rPr>
                <w:rFonts w:hint="eastAsia" w:ascii="宋体" w:hAnsi="宋体" w:cs="宋体"/>
                <w:color w:val="auto"/>
                <w:sz w:val="21"/>
                <w:szCs w:val="21"/>
                <w:lang w:val="en-US" w:eastAsia="zh-CN"/>
              </w:rPr>
              <w:t>与措施</w:t>
            </w:r>
            <w:r>
              <w:rPr>
                <w:rFonts w:hint="eastAsia" w:ascii="宋体" w:hAnsi="宋体" w:eastAsia="宋体" w:cs="宋体"/>
                <w:color w:val="auto"/>
                <w:sz w:val="21"/>
                <w:szCs w:val="21"/>
                <w:lang w:eastAsia="zh-CN"/>
              </w:rPr>
              <w:t>、安全管理方案、质量管理方案</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资源配备计划、项目管理人员配备、扬尘污染防治方案</w:t>
            </w:r>
            <w:r>
              <w:rPr>
                <w:rFonts w:hint="eastAsia" w:ascii="宋体" w:hAnsi="宋体" w:eastAsia="宋体" w:cs="宋体"/>
                <w:color w:val="auto"/>
                <w:sz w:val="21"/>
                <w:szCs w:val="21"/>
                <w:lang w:eastAsia="zh-CN"/>
              </w:rPr>
              <w:t>，建立完善的施工组织机构和管理体系等，合理选用施工技术，确保如期保质完成建设任务。其中各项方案内容全面、完整，详细可行，科学合理的得</w:t>
            </w: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eastAsia="zh-CN"/>
              </w:rPr>
              <w:t>分；各项方案相对完整，合理、可行的得</w:t>
            </w:r>
            <w:r>
              <w:rPr>
                <w:rFonts w:hint="eastAsia" w:ascii="宋体" w:hAnsi="宋体" w:cs="宋体"/>
                <w:color w:val="auto"/>
                <w:sz w:val="21"/>
                <w:szCs w:val="21"/>
                <w:lang w:val="en-US" w:eastAsia="zh-CN"/>
              </w:rPr>
              <w:t>14</w:t>
            </w:r>
            <w:r>
              <w:rPr>
                <w:rFonts w:hint="eastAsia" w:ascii="宋体" w:hAnsi="宋体" w:eastAsia="宋体" w:cs="宋体"/>
                <w:color w:val="auto"/>
                <w:sz w:val="21"/>
                <w:szCs w:val="21"/>
                <w:lang w:eastAsia="zh-CN"/>
              </w:rPr>
              <w:t>分；各项方案仅有简单描述的得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分。</w:t>
            </w:r>
          </w:p>
        </w:tc>
        <w:tc>
          <w:tcPr>
            <w:tcW w:w="747" w:type="dxa"/>
            <w:tcBorders>
              <w:top w:val="single" w:color="auto" w:sz="4" w:space="0"/>
              <w:left w:val="nil"/>
              <w:bottom w:val="single" w:color="auto" w:sz="4" w:space="0"/>
              <w:right w:val="single" w:color="auto" w:sz="4" w:space="0"/>
            </w:tcBorders>
            <w:noWrap/>
            <w:vAlign w:val="center"/>
          </w:tcPr>
          <w:p w14:paraId="705D3457">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bCs/>
                <w:color w:val="auto"/>
                <w:sz w:val="21"/>
                <w:szCs w:val="21"/>
                <w:shd w:val="clear" w:color="auto" w:fill="FFFFFF"/>
                <w:lang w:val="en-US" w:eastAsia="zh-CN"/>
              </w:rPr>
            </w:pPr>
            <w:r>
              <w:rPr>
                <w:rFonts w:hint="eastAsia" w:ascii="Times New Roman" w:hAnsi="Times New Roman"/>
                <w:bCs/>
                <w:color w:val="auto"/>
                <w:sz w:val="21"/>
                <w:szCs w:val="21"/>
                <w:shd w:val="clear" w:color="auto" w:fill="FFFFFF"/>
                <w:lang w:val="en-US" w:eastAsia="zh-CN"/>
              </w:rPr>
              <w:t>20分</w:t>
            </w:r>
          </w:p>
        </w:tc>
      </w:tr>
      <w:tr w14:paraId="5C42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205E5">
            <w:pPr>
              <w:pStyle w:val="157"/>
              <w:keepNext w:val="0"/>
              <w:keepLines w:val="0"/>
              <w:pageBreakBefore w:val="0"/>
              <w:suppressLineNumbers w:val="0"/>
              <w:shd w:val="clear" w:color="auto" w:fill="auto"/>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运营方案</w:t>
            </w:r>
          </w:p>
        </w:tc>
        <w:tc>
          <w:tcPr>
            <w:tcW w:w="6561" w:type="dxa"/>
            <w:tcBorders>
              <w:top w:val="single" w:color="auto" w:sz="4" w:space="0"/>
              <w:left w:val="nil"/>
              <w:bottom w:val="single" w:color="auto" w:sz="4" w:space="0"/>
              <w:right w:val="single" w:color="auto" w:sz="4" w:space="0"/>
            </w:tcBorders>
            <w:noWrap/>
            <w:vAlign w:val="top"/>
          </w:tcPr>
          <w:p w14:paraId="77E28D18">
            <w:pPr>
              <w:pStyle w:val="157"/>
              <w:keepNext w:val="0"/>
              <w:keepLines w:val="0"/>
              <w:pageBreakBefore w:val="0"/>
              <w:suppressLineNumbers w:val="0"/>
              <w:kinsoku/>
              <w:wordWrap/>
              <w:overflowPunct/>
              <w:topLinePunct w:val="0"/>
              <w:autoSpaceDE/>
              <w:autoSpaceDN/>
              <w:bidi w:val="0"/>
              <w:adjustRightInd/>
              <w:snapToGrid/>
              <w:spacing w:before="37" w:beforeAutospacing="0" w:afterAutospacing="0" w:line="360" w:lineRule="auto"/>
              <w:ind w:right="108" w:rightChars="0"/>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运营方案包括但不限于运营质量目标，</w:t>
            </w:r>
            <w:r>
              <w:rPr>
                <w:rFonts w:hint="eastAsia" w:cs="宋体"/>
                <w:color w:val="auto"/>
                <w:sz w:val="21"/>
                <w:szCs w:val="21"/>
                <w:highlight w:val="none"/>
                <w:lang w:val="en-US" w:eastAsia="zh-CN"/>
              </w:rPr>
              <w:t>项目管理机构设置、</w:t>
            </w:r>
            <w:r>
              <w:rPr>
                <w:rFonts w:hint="default" w:ascii="宋体" w:hAnsi="宋体" w:eastAsia="宋体" w:cs="宋体"/>
                <w:color w:val="auto"/>
                <w:sz w:val="21"/>
                <w:szCs w:val="21"/>
                <w:highlight w:val="none"/>
                <w:lang w:val="en-US" w:eastAsia="zh-CN"/>
              </w:rPr>
              <w:t>项目设施的养护维修及保障措施；运营期内</w:t>
            </w:r>
            <w:r>
              <w:rPr>
                <w:rFonts w:hint="eastAsia" w:cs="宋体"/>
                <w:color w:val="auto"/>
                <w:sz w:val="21"/>
                <w:szCs w:val="21"/>
                <w:highlight w:val="none"/>
                <w:lang w:val="en-US" w:eastAsia="zh-CN"/>
              </w:rPr>
              <w:t>突发事件</w:t>
            </w:r>
            <w:r>
              <w:rPr>
                <w:rFonts w:hint="default" w:ascii="宋体" w:hAnsi="宋体" w:eastAsia="宋体" w:cs="宋体"/>
                <w:color w:val="auto"/>
                <w:sz w:val="21"/>
                <w:szCs w:val="21"/>
                <w:highlight w:val="none"/>
                <w:lang w:val="en-US" w:eastAsia="zh-CN"/>
              </w:rPr>
              <w:t>应急预案、检修制度、运营保险</w:t>
            </w:r>
            <w:r>
              <w:rPr>
                <w:rFonts w:hint="eastAsia"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其中各项方案内容全面、完整，详细可行，科学合理的得</w:t>
            </w:r>
            <w:r>
              <w:rPr>
                <w:rFonts w:hint="eastAsia" w:cs="宋体"/>
                <w:color w:val="auto"/>
                <w:sz w:val="21"/>
                <w:szCs w:val="21"/>
                <w:highlight w:val="none"/>
                <w:lang w:val="en-US" w:eastAsia="zh-CN"/>
              </w:rPr>
              <w:t>15</w:t>
            </w:r>
            <w:r>
              <w:rPr>
                <w:rFonts w:hint="default" w:ascii="宋体" w:hAnsi="宋体" w:eastAsia="宋体" w:cs="宋体"/>
                <w:color w:val="auto"/>
                <w:sz w:val="21"/>
                <w:szCs w:val="21"/>
                <w:highlight w:val="none"/>
                <w:lang w:val="en-US" w:eastAsia="zh-CN"/>
              </w:rPr>
              <w:t>分；各项方案较完整，可行的得</w:t>
            </w:r>
            <w:r>
              <w:rPr>
                <w:rFonts w:hint="eastAsia" w:cs="宋体"/>
                <w:color w:val="auto"/>
                <w:sz w:val="21"/>
                <w:szCs w:val="21"/>
                <w:highlight w:val="none"/>
                <w:lang w:val="en-US" w:eastAsia="zh-CN"/>
              </w:rPr>
              <w:t>10.5</w:t>
            </w:r>
            <w:r>
              <w:rPr>
                <w:rFonts w:hint="default" w:ascii="宋体" w:hAnsi="宋体" w:eastAsia="宋体" w:cs="宋体"/>
                <w:color w:val="auto"/>
                <w:sz w:val="21"/>
                <w:szCs w:val="21"/>
                <w:highlight w:val="none"/>
                <w:lang w:val="en-US" w:eastAsia="zh-CN"/>
              </w:rPr>
              <w:t>分；各项方案仅有简单描述的得</w:t>
            </w:r>
            <w:r>
              <w:rPr>
                <w:rFonts w:hint="eastAsia"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tc>
        <w:tc>
          <w:tcPr>
            <w:tcW w:w="747" w:type="dxa"/>
            <w:tcBorders>
              <w:top w:val="single" w:color="auto" w:sz="4" w:space="0"/>
              <w:left w:val="nil"/>
              <w:bottom w:val="single" w:color="auto" w:sz="4" w:space="0"/>
              <w:right w:val="single" w:color="auto" w:sz="4" w:space="0"/>
            </w:tcBorders>
            <w:noWrap/>
            <w:vAlign w:val="center"/>
          </w:tcPr>
          <w:p w14:paraId="45B08117">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bCs/>
                <w:color w:val="auto"/>
                <w:sz w:val="21"/>
                <w:szCs w:val="21"/>
                <w:highlight w:val="none"/>
                <w:shd w:val="clear" w:color="auto" w:fill="FFFFFF"/>
                <w:lang w:val="en-US" w:eastAsia="zh-CN"/>
              </w:rPr>
            </w:pPr>
            <w:r>
              <w:rPr>
                <w:rFonts w:hint="eastAsia"/>
                <w:bCs/>
                <w:color w:val="auto"/>
                <w:sz w:val="21"/>
                <w:szCs w:val="21"/>
                <w:highlight w:val="none"/>
                <w:shd w:val="clear" w:color="auto" w:fill="FFFFFF"/>
                <w:lang w:val="en-US" w:eastAsia="zh-CN"/>
              </w:rPr>
              <w:t>15</w:t>
            </w:r>
            <w:r>
              <w:rPr>
                <w:rFonts w:hint="eastAsia" w:ascii="Times New Roman" w:hAnsi="Times New Roman"/>
                <w:bCs/>
                <w:color w:val="auto"/>
                <w:sz w:val="21"/>
                <w:szCs w:val="21"/>
                <w:highlight w:val="none"/>
                <w:shd w:val="clear" w:color="auto" w:fill="FFFFFF"/>
                <w:lang w:val="en-US" w:eastAsia="zh-CN"/>
              </w:rPr>
              <w:t>分</w:t>
            </w:r>
          </w:p>
        </w:tc>
      </w:tr>
      <w:tr w14:paraId="6560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7B1AD">
            <w:pPr>
              <w:pStyle w:val="157"/>
              <w:keepNext w:val="0"/>
              <w:keepLines w:val="0"/>
              <w:pageBreakBefore w:val="0"/>
              <w:suppressLineNumbers w:val="0"/>
              <w:shd w:val="clear" w:color="auto" w:fill="auto"/>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项目设施移交方案</w:t>
            </w:r>
          </w:p>
        </w:tc>
        <w:tc>
          <w:tcPr>
            <w:tcW w:w="6561" w:type="dxa"/>
            <w:tcBorders>
              <w:top w:val="single" w:color="auto" w:sz="4" w:space="0"/>
              <w:left w:val="nil"/>
              <w:bottom w:val="single" w:color="auto" w:sz="4" w:space="0"/>
              <w:right w:val="single" w:color="auto" w:sz="4" w:space="0"/>
            </w:tcBorders>
            <w:noWrap/>
            <w:vAlign w:val="top"/>
          </w:tcPr>
          <w:p w14:paraId="5C3A1BAD">
            <w:pPr>
              <w:pStyle w:val="157"/>
              <w:keepNext w:val="0"/>
              <w:keepLines w:val="0"/>
              <w:pageBreakBefore w:val="0"/>
              <w:suppressLineNumbers w:val="0"/>
              <w:kinsoku/>
              <w:wordWrap/>
              <w:overflowPunct/>
              <w:topLinePunct w:val="0"/>
              <w:autoSpaceDE/>
              <w:autoSpaceDN/>
              <w:bidi w:val="0"/>
              <w:adjustRightInd/>
              <w:snapToGrid/>
              <w:spacing w:before="37" w:beforeAutospacing="0" w:afterAutospacing="0" w:line="360" w:lineRule="auto"/>
              <w:ind w:right="108" w:rightChars="0"/>
              <w:jc w:val="left"/>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项目设施移交方案包括但不限于移交时间安排、移交范围，移交条件和标准、移交人员安排、最后恢复检修计划、移交程序、质量保证和人员培训。其中各项方案内容全面、完整，详细可行，各节点安排科学合理的得10分；各项方案</w:t>
            </w:r>
            <w:r>
              <w:rPr>
                <w:rFonts w:hint="eastAsia" w:ascii="宋体" w:hAnsi="宋体" w:eastAsia="宋体" w:cs="宋体"/>
                <w:color w:val="auto"/>
                <w:sz w:val="21"/>
                <w:szCs w:val="21"/>
                <w:lang w:eastAsia="zh-CN"/>
              </w:rPr>
              <w:t>有简单描述</w:t>
            </w:r>
            <w:r>
              <w:rPr>
                <w:rFonts w:hint="eastAsia" w:cs="宋体"/>
                <w:color w:val="auto"/>
                <w:sz w:val="21"/>
                <w:szCs w:val="21"/>
                <w:lang w:eastAsia="zh-CN"/>
              </w:rPr>
              <w:t>且不缺项</w:t>
            </w:r>
            <w:r>
              <w:rPr>
                <w:rFonts w:hint="default" w:ascii="宋体" w:hAnsi="宋体" w:eastAsia="宋体" w:cs="宋体"/>
                <w:color w:val="auto"/>
                <w:sz w:val="21"/>
                <w:szCs w:val="21"/>
                <w:lang w:val="en-US" w:eastAsia="zh-CN"/>
              </w:rPr>
              <w:t>的得</w:t>
            </w:r>
            <w:r>
              <w:rPr>
                <w:rFonts w:hint="eastAsia" w:cs="宋体"/>
                <w:color w:val="auto"/>
                <w:sz w:val="21"/>
                <w:szCs w:val="21"/>
                <w:lang w:val="en-US" w:eastAsia="zh-CN"/>
              </w:rPr>
              <w:t>7</w:t>
            </w:r>
            <w:r>
              <w:rPr>
                <w:rFonts w:hint="default" w:ascii="宋体" w:hAnsi="宋体" w:eastAsia="宋体" w:cs="宋体"/>
                <w:color w:val="auto"/>
                <w:sz w:val="21"/>
                <w:szCs w:val="21"/>
                <w:lang w:val="en-US" w:eastAsia="zh-CN"/>
              </w:rPr>
              <w:t>分；缺项或不提供不得分。</w:t>
            </w:r>
          </w:p>
        </w:tc>
        <w:tc>
          <w:tcPr>
            <w:tcW w:w="747" w:type="dxa"/>
            <w:tcBorders>
              <w:top w:val="single" w:color="auto" w:sz="4" w:space="0"/>
              <w:left w:val="nil"/>
              <w:bottom w:val="single" w:color="auto" w:sz="4" w:space="0"/>
              <w:right w:val="single" w:color="auto" w:sz="4" w:space="0"/>
            </w:tcBorders>
            <w:noWrap/>
            <w:vAlign w:val="center"/>
          </w:tcPr>
          <w:p w14:paraId="4A7A82DF">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bCs/>
                <w:color w:val="auto"/>
                <w:sz w:val="21"/>
                <w:szCs w:val="21"/>
                <w:shd w:val="clear" w:color="auto" w:fill="FFFFFF"/>
                <w:lang w:val="en-US" w:eastAsia="zh-CN"/>
              </w:rPr>
            </w:pPr>
            <w:r>
              <w:rPr>
                <w:rFonts w:hint="eastAsia"/>
                <w:bCs/>
                <w:color w:val="auto"/>
                <w:sz w:val="21"/>
                <w:szCs w:val="21"/>
                <w:shd w:val="clear" w:color="auto" w:fill="FFFFFF"/>
                <w:lang w:val="en-US" w:eastAsia="zh-CN"/>
              </w:rPr>
              <w:t>10</w:t>
            </w:r>
            <w:r>
              <w:rPr>
                <w:rFonts w:hint="eastAsia" w:ascii="Times New Roman" w:hAnsi="Times New Roman"/>
                <w:bCs/>
                <w:color w:val="auto"/>
                <w:sz w:val="21"/>
                <w:szCs w:val="21"/>
                <w:shd w:val="clear" w:color="auto" w:fill="FFFFFF"/>
                <w:lang w:val="en-US" w:eastAsia="zh-CN"/>
              </w:rPr>
              <w:t>分</w:t>
            </w:r>
          </w:p>
        </w:tc>
      </w:tr>
      <w:tr w14:paraId="0A68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BA1B9">
            <w:pPr>
              <w:pStyle w:val="157"/>
              <w:keepNext w:val="0"/>
              <w:keepLines w:val="0"/>
              <w:pageBreakBefore w:val="0"/>
              <w:suppressLineNumbers w:val="0"/>
              <w:shd w:val="clear" w:color="auto" w:fill="auto"/>
              <w:kinsoku/>
              <w:wordWrap/>
              <w:overflowPunct/>
              <w:topLinePunct w:val="0"/>
              <w:autoSpaceDE/>
              <w:autoSpaceDN/>
              <w:bidi w:val="0"/>
              <w:adjustRightInd/>
              <w:snapToGrid/>
              <w:spacing w:beforeAutospacing="0" w:afterAutospacing="0" w:line="360" w:lineRule="auto"/>
              <w:ind w:right="0" w:rightChars="0"/>
              <w:jc w:val="center"/>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服务承诺及其他</w:t>
            </w:r>
          </w:p>
        </w:tc>
        <w:tc>
          <w:tcPr>
            <w:tcW w:w="6561" w:type="dxa"/>
            <w:tcBorders>
              <w:top w:val="single" w:color="auto" w:sz="4" w:space="0"/>
              <w:left w:val="nil"/>
              <w:bottom w:val="single" w:color="auto" w:sz="4" w:space="0"/>
              <w:right w:val="single" w:color="auto" w:sz="4" w:space="0"/>
            </w:tcBorders>
            <w:noWrap/>
            <w:vAlign w:val="top"/>
          </w:tcPr>
          <w:p w14:paraId="0BE4266B">
            <w:pPr>
              <w:pStyle w:val="157"/>
              <w:keepNext w:val="0"/>
              <w:keepLines w:val="0"/>
              <w:pageBreakBefore w:val="0"/>
              <w:suppressLineNumbers w:val="0"/>
              <w:kinsoku/>
              <w:wordWrap/>
              <w:overflowPunct/>
              <w:topLinePunct w:val="0"/>
              <w:autoSpaceDE/>
              <w:autoSpaceDN/>
              <w:bidi w:val="0"/>
              <w:adjustRightInd/>
              <w:snapToGrid/>
              <w:spacing w:before="37" w:beforeAutospacing="0" w:afterAutospacing="0" w:line="360" w:lineRule="auto"/>
              <w:ind w:right="108" w:rightChars="0"/>
              <w:jc w:val="left"/>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项目建设和运营过程中，承诺及时解决出现的各类问题，包括但不限于(对提高项目质量、缩短工期、减少投资、减少对周边环境影响</w:t>
            </w:r>
            <w:r>
              <w:rPr>
                <w:rFonts w:hint="eastAsia" w:cs="宋体"/>
                <w:color w:val="auto"/>
                <w:sz w:val="21"/>
                <w:szCs w:val="21"/>
                <w:lang w:val="en-US" w:eastAsia="zh-CN"/>
              </w:rPr>
              <w:t>、积极配合主管部门各项工作的保证措施和承诺</w:t>
            </w:r>
            <w:r>
              <w:rPr>
                <w:rFonts w:hint="default" w:ascii="宋体" w:hAnsi="宋体" w:eastAsia="宋体" w:cs="宋体"/>
                <w:color w:val="auto"/>
                <w:sz w:val="21"/>
                <w:szCs w:val="21"/>
                <w:lang w:val="en-US" w:eastAsia="zh-CN"/>
              </w:rPr>
              <w:t>)等方面的合理化建议及承诺完整、详细、合理、可实施性强的得</w:t>
            </w:r>
            <w:r>
              <w:rPr>
                <w:rFonts w:hint="eastAsia" w:cs="宋体"/>
                <w:color w:val="auto"/>
                <w:sz w:val="21"/>
                <w:szCs w:val="21"/>
                <w:lang w:val="en-US" w:eastAsia="zh-CN"/>
              </w:rPr>
              <w:t>5</w:t>
            </w:r>
            <w:r>
              <w:rPr>
                <w:rFonts w:hint="default" w:ascii="宋体" w:hAnsi="宋体" w:eastAsia="宋体" w:cs="宋体"/>
                <w:color w:val="auto"/>
                <w:sz w:val="21"/>
                <w:szCs w:val="21"/>
                <w:lang w:val="en-US" w:eastAsia="zh-CN"/>
              </w:rPr>
              <w:t>分；各项建议及承诺合理、全面得</w:t>
            </w:r>
            <w:r>
              <w:rPr>
                <w:rFonts w:hint="eastAsia" w:cs="宋体"/>
                <w:color w:val="auto"/>
                <w:sz w:val="21"/>
                <w:szCs w:val="21"/>
                <w:lang w:val="en-US" w:eastAsia="zh-CN"/>
              </w:rPr>
              <w:t>3.5</w:t>
            </w:r>
            <w:r>
              <w:rPr>
                <w:rFonts w:hint="default" w:ascii="宋体" w:hAnsi="宋体" w:eastAsia="宋体" w:cs="宋体"/>
                <w:color w:val="auto"/>
                <w:sz w:val="21"/>
                <w:szCs w:val="21"/>
                <w:lang w:val="en-US" w:eastAsia="zh-CN"/>
              </w:rPr>
              <w:t>分；不提供不得分。</w:t>
            </w:r>
          </w:p>
        </w:tc>
        <w:tc>
          <w:tcPr>
            <w:tcW w:w="747" w:type="dxa"/>
            <w:tcBorders>
              <w:top w:val="single" w:color="auto" w:sz="4" w:space="0"/>
              <w:left w:val="nil"/>
              <w:bottom w:val="single" w:color="auto" w:sz="4" w:space="0"/>
              <w:right w:val="single" w:color="auto" w:sz="4" w:space="0"/>
            </w:tcBorders>
            <w:noWrap/>
            <w:vAlign w:val="center"/>
          </w:tcPr>
          <w:p w14:paraId="570EC992">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bCs/>
                <w:color w:val="auto"/>
                <w:sz w:val="21"/>
                <w:szCs w:val="21"/>
                <w:shd w:val="clear" w:color="auto" w:fill="FFFFFF"/>
                <w:lang w:val="en-US" w:eastAsia="zh-CN"/>
              </w:rPr>
            </w:pPr>
            <w:r>
              <w:rPr>
                <w:rFonts w:hint="eastAsia"/>
                <w:bCs/>
                <w:color w:val="auto"/>
                <w:sz w:val="21"/>
                <w:szCs w:val="21"/>
                <w:shd w:val="clear" w:color="auto" w:fill="FFFFFF"/>
                <w:lang w:val="en-US" w:eastAsia="zh-CN"/>
              </w:rPr>
              <w:t>5分</w:t>
            </w:r>
          </w:p>
        </w:tc>
      </w:tr>
      <w:bookmarkEnd w:id="24"/>
    </w:tbl>
    <w:p w14:paraId="6B8946AD">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ascii="宋体" w:hAnsi="宋体" w:cs="仿宋_GB2312"/>
          <w:b/>
          <w:color w:val="auto"/>
          <w:lang w:val="zh-CN"/>
        </w:rPr>
      </w:pPr>
      <w:r>
        <w:rPr>
          <w:rFonts w:hint="eastAsia" w:hAnsi="宋体" w:cs="仿宋_GB2312"/>
          <w:b/>
          <w:color w:val="auto"/>
          <w:sz w:val="24"/>
          <w:szCs w:val="24"/>
          <w:lang w:val="zh-CN"/>
        </w:rPr>
        <w:t>注：评标标准中所涉及的证书均应在电子响应文件中提供原件扫描件（或图片）。</w:t>
      </w:r>
    </w:p>
    <w:p w14:paraId="1588F8A6">
      <w:pPr>
        <w:autoSpaceDE w:val="0"/>
        <w:autoSpaceDN w:val="0"/>
        <w:adjustRightInd w:val="0"/>
        <w:spacing w:line="360" w:lineRule="auto"/>
        <w:ind w:firstLine="482" w:firstLineChars="200"/>
        <w:outlineLvl w:val="5"/>
        <w:rPr>
          <w:rFonts w:cs="宋体" w:asciiTheme="minorEastAsia" w:hAnsiTheme="minorEastAsia"/>
          <w:b/>
          <w:bCs/>
          <w:color w:val="auto"/>
          <w:sz w:val="24"/>
          <w:szCs w:val="28"/>
        </w:rPr>
      </w:pPr>
      <w:r>
        <w:rPr>
          <w:rFonts w:cs="宋体" w:asciiTheme="minorEastAsia" w:hAnsiTheme="minorEastAsia"/>
          <w:b/>
          <w:bCs/>
          <w:color w:val="auto"/>
          <w:sz w:val="24"/>
          <w:szCs w:val="28"/>
        </w:rPr>
        <w:t>其中：价格分计算</w:t>
      </w:r>
      <w:r>
        <w:rPr>
          <w:rFonts w:hint="eastAsia" w:cs="宋体" w:asciiTheme="minorEastAsia" w:hAnsiTheme="minorEastAsia"/>
          <w:b/>
          <w:bCs/>
          <w:color w:val="auto"/>
          <w:sz w:val="24"/>
          <w:szCs w:val="28"/>
        </w:rPr>
        <w:t>（</w:t>
      </w:r>
      <w:r>
        <w:rPr>
          <w:rFonts w:cs="宋体" w:asciiTheme="minorEastAsia" w:hAnsiTheme="minorEastAsia"/>
          <w:b/>
          <w:bCs/>
          <w:color w:val="auto"/>
          <w:sz w:val="24"/>
          <w:szCs w:val="28"/>
        </w:rPr>
        <w:t>落实政府采购政策价格调整部分</w:t>
      </w:r>
      <w:r>
        <w:rPr>
          <w:rFonts w:hint="eastAsia" w:cs="宋体" w:asciiTheme="minorEastAsia" w:hAnsiTheme="minorEastAsia"/>
          <w:b/>
          <w:bCs/>
          <w:color w:val="auto"/>
          <w:sz w:val="24"/>
          <w:szCs w:val="28"/>
        </w:rPr>
        <w:t>）</w:t>
      </w:r>
    </w:p>
    <w:tbl>
      <w:tblPr>
        <w:tblStyle w:val="4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2625"/>
        <w:gridCol w:w="2850"/>
        <w:gridCol w:w="3578"/>
      </w:tblGrid>
      <w:tr w14:paraId="021AE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675" w:type="dxa"/>
            <w:vAlign w:val="center"/>
          </w:tcPr>
          <w:p w14:paraId="3A293424">
            <w:pPr>
              <w:autoSpaceDE w:val="0"/>
              <w:autoSpaceDN w:val="0"/>
              <w:adjustRightInd w:val="0"/>
              <w:spacing w:line="360" w:lineRule="auto"/>
              <w:jc w:val="center"/>
              <w:rPr>
                <w:rFonts w:cs="宋体" w:asciiTheme="minorEastAsia" w:hAnsiTheme="minorEastAsia"/>
                <w:color w:val="auto"/>
                <w:sz w:val="24"/>
                <w:szCs w:val="24"/>
              </w:rPr>
            </w:pPr>
            <w:r>
              <w:rPr>
                <w:rFonts w:cs="宋体" w:asciiTheme="minorEastAsia" w:hAnsiTheme="minorEastAsia"/>
                <w:color w:val="auto"/>
                <w:spacing w:val="-2"/>
                <w:sz w:val="24"/>
                <w:szCs w:val="24"/>
              </w:rPr>
              <w:t>序</w:t>
            </w:r>
            <w:r>
              <w:rPr>
                <w:rFonts w:cs="宋体" w:asciiTheme="minorEastAsia" w:hAnsiTheme="minorEastAsia"/>
                <w:color w:val="auto"/>
                <w:spacing w:val="-1"/>
                <w:sz w:val="24"/>
                <w:szCs w:val="24"/>
              </w:rPr>
              <w:t>号</w:t>
            </w:r>
          </w:p>
        </w:tc>
        <w:tc>
          <w:tcPr>
            <w:tcW w:w="2625" w:type="dxa"/>
          </w:tcPr>
          <w:p w14:paraId="6745CE11">
            <w:pPr>
              <w:autoSpaceDE w:val="0"/>
              <w:autoSpaceDN w:val="0"/>
              <w:adjustRightInd w:val="0"/>
              <w:spacing w:line="360" w:lineRule="auto"/>
              <w:jc w:val="center"/>
              <w:rPr>
                <w:rFonts w:cs="宋体" w:asciiTheme="minorEastAsia" w:hAnsiTheme="minorEastAsia"/>
                <w:color w:val="auto"/>
                <w:sz w:val="24"/>
                <w:szCs w:val="24"/>
              </w:rPr>
            </w:pPr>
            <w:r>
              <w:rPr>
                <w:rFonts w:cs="宋体" w:asciiTheme="minorEastAsia" w:hAnsiTheme="minorEastAsia"/>
                <w:color w:val="auto"/>
                <w:spacing w:val="-2"/>
                <w:sz w:val="24"/>
                <w:szCs w:val="24"/>
              </w:rPr>
              <w:t>情</w:t>
            </w:r>
            <w:r>
              <w:rPr>
                <w:rFonts w:cs="宋体" w:asciiTheme="minorEastAsia" w:hAnsiTheme="minorEastAsia"/>
                <w:color w:val="auto"/>
                <w:spacing w:val="-1"/>
                <w:sz w:val="24"/>
                <w:szCs w:val="24"/>
              </w:rPr>
              <w:t>形</w:t>
            </w:r>
          </w:p>
        </w:tc>
        <w:tc>
          <w:tcPr>
            <w:tcW w:w="2850" w:type="dxa"/>
          </w:tcPr>
          <w:p w14:paraId="0CD6FB01">
            <w:pPr>
              <w:autoSpaceDE w:val="0"/>
              <w:autoSpaceDN w:val="0"/>
              <w:adjustRightInd w:val="0"/>
              <w:spacing w:line="360" w:lineRule="auto"/>
              <w:jc w:val="center"/>
              <w:rPr>
                <w:rFonts w:cs="宋体" w:asciiTheme="minorEastAsia" w:hAnsiTheme="minorEastAsia"/>
                <w:color w:val="auto"/>
                <w:sz w:val="24"/>
                <w:szCs w:val="24"/>
              </w:rPr>
            </w:pPr>
            <w:r>
              <w:rPr>
                <w:rFonts w:cs="宋体" w:asciiTheme="minorEastAsia" w:hAnsiTheme="minorEastAsia"/>
                <w:color w:val="auto"/>
                <w:spacing w:val="-1"/>
                <w:sz w:val="24"/>
                <w:szCs w:val="24"/>
              </w:rPr>
              <w:t>价格</w:t>
            </w:r>
            <w:r>
              <w:rPr>
                <w:rFonts w:cs="宋体" w:asciiTheme="minorEastAsia" w:hAnsiTheme="minorEastAsia"/>
                <w:color w:val="auto"/>
                <w:sz w:val="24"/>
                <w:szCs w:val="24"/>
              </w:rPr>
              <w:t>扣除比例</w:t>
            </w:r>
          </w:p>
        </w:tc>
        <w:tc>
          <w:tcPr>
            <w:tcW w:w="3578" w:type="dxa"/>
          </w:tcPr>
          <w:p w14:paraId="3700222A">
            <w:pPr>
              <w:autoSpaceDE w:val="0"/>
              <w:autoSpaceDN w:val="0"/>
              <w:adjustRightInd w:val="0"/>
              <w:spacing w:line="360" w:lineRule="auto"/>
              <w:jc w:val="center"/>
              <w:rPr>
                <w:rFonts w:cs="宋体" w:asciiTheme="minorEastAsia" w:hAnsiTheme="minorEastAsia"/>
                <w:color w:val="auto"/>
                <w:sz w:val="24"/>
                <w:szCs w:val="24"/>
              </w:rPr>
            </w:pPr>
            <w:r>
              <w:rPr>
                <w:rFonts w:cs="宋体" w:asciiTheme="minorEastAsia" w:hAnsiTheme="minorEastAsia"/>
                <w:color w:val="auto"/>
                <w:spacing w:val="-1"/>
                <w:sz w:val="24"/>
                <w:szCs w:val="24"/>
              </w:rPr>
              <w:t>计算公</w:t>
            </w:r>
            <w:r>
              <w:rPr>
                <w:rFonts w:cs="宋体" w:asciiTheme="minorEastAsia" w:hAnsiTheme="minorEastAsia"/>
                <w:color w:val="auto"/>
                <w:sz w:val="24"/>
                <w:szCs w:val="24"/>
              </w:rPr>
              <w:t>式</w:t>
            </w:r>
          </w:p>
        </w:tc>
      </w:tr>
      <w:tr w14:paraId="5E236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675" w:type="dxa"/>
            <w:vAlign w:val="center"/>
          </w:tcPr>
          <w:p w14:paraId="59C486B7">
            <w:pPr>
              <w:autoSpaceDE w:val="0"/>
              <w:autoSpaceDN w:val="0"/>
              <w:adjustRightInd w:val="0"/>
              <w:spacing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1</w:t>
            </w:r>
          </w:p>
        </w:tc>
        <w:tc>
          <w:tcPr>
            <w:tcW w:w="2625" w:type="dxa"/>
            <w:vAlign w:val="center"/>
          </w:tcPr>
          <w:p w14:paraId="3042467F">
            <w:pPr>
              <w:autoSpaceDE w:val="0"/>
              <w:autoSpaceDN w:val="0"/>
              <w:adjustRightInd w:val="0"/>
              <w:spacing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非联合体投标人</w:t>
            </w:r>
          </w:p>
        </w:tc>
        <w:tc>
          <w:tcPr>
            <w:tcW w:w="2850" w:type="dxa"/>
            <w:vAlign w:val="center"/>
          </w:tcPr>
          <w:p w14:paraId="0E95DD2A">
            <w:pPr>
              <w:autoSpaceDE w:val="0"/>
              <w:autoSpaceDN w:val="0"/>
              <w:adjustRightInd w:val="0"/>
              <w:spacing w:line="360" w:lineRule="auto"/>
              <w:jc w:val="center"/>
              <w:rPr>
                <w:rFonts w:hint="eastAsia" w:cs="宋体" w:asciiTheme="minorEastAsia" w:hAnsiTheme="minorEastAsia" w:eastAsiaTheme="minorEastAsia"/>
                <w:color w:val="auto"/>
                <w:sz w:val="24"/>
                <w:szCs w:val="24"/>
                <w:lang w:eastAsia="zh-CN"/>
              </w:rPr>
            </w:pPr>
            <w:r>
              <w:rPr>
                <w:rFonts w:hint="eastAsia" w:cs="宋体" w:asciiTheme="minorEastAsia" w:hAnsiTheme="minorEastAsia"/>
                <w:color w:val="auto"/>
                <w:sz w:val="24"/>
                <w:szCs w:val="24"/>
              </w:rPr>
              <w:t>对小型和微型企业报价扣除</w:t>
            </w:r>
            <w:r>
              <w:rPr>
                <w:rFonts w:hint="eastAsia" w:cs="宋体" w:asciiTheme="minorEastAsia" w:hAnsiTheme="minorEastAsia"/>
                <w:color w:val="auto"/>
                <w:sz w:val="24"/>
                <w:szCs w:val="24"/>
                <w:lang w:eastAsia="zh-CN"/>
              </w:rPr>
              <w:t>20%</w:t>
            </w:r>
          </w:p>
        </w:tc>
        <w:tc>
          <w:tcPr>
            <w:tcW w:w="3578" w:type="dxa"/>
            <w:vMerge w:val="restart"/>
            <w:vAlign w:val="center"/>
          </w:tcPr>
          <w:p w14:paraId="6B5C6C35">
            <w:pPr>
              <w:autoSpaceDE w:val="0"/>
              <w:autoSpaceDN w:val="0"/>
              <w:adjustRightInd w:val="0"/>
              <w:spacing w:line="360" w:lineRule="auto"/>
              <w:jc w:val="center"/>
              <w:rPr>
                <w:rFonts w:cs="宋体" w:asciiTheme="minorEastAsia" w:hAnsiTheme="minorEastAsia"/>
                <w:color w:val="auto"/>
                <w:sz w:val="24"/>
                <w:szCs w:val="24"/>
              </w:rPr>
            </w:pPr>
            <w:r>
              <w:rPr>
                <w:rFonts w:hint="eastAsia" w:cs="宋体" w:asciiTheme="minorEastAsia" w:hAnsiTheme="minorEastAsia"/>
                <w:color w:val="auto"/>
                <w:spacing w:val="-1"/>
                <w:sz w:val="24"/>
                <w:szCs w:val="24"/>
              </w:rPr>
              <w:t>评标价格＝</w:t>
            </w:r>
            <w:r>
              <w:rPr>
                <w:rFonts w:hint="eastAsia" w:cs="宋体" w:asciiTheme="minorEastAsia" w:hAnsiTheme="minorEastAsia"/>
                <w:color w:val="auto"/>
                <w:sz w:val="24"/>
                <w:szCs w:val="24"/>
              </w:rPr>
              <w:t>小型和微型企业</w:t>
            </w:r>
            <w:r>
              <w:rPr>
                <w:rFonts w:hint="eastAsia" w:cs="宋体" w:asciiTheme="minorEastAsia" w:hAnsiTheme="minorEastAsia"/>
                <w:color w:val="auto"/>
                <w:spacing w:val="12"/>
                <w:sz w:val="24"/>
                <w:szCs w:val="24"/>
              </w:rPr>
              <w:t>报</w:t>
            </w:r>
            <w:r>
              <w:rPr>
                <w:rFonts w:hint="eastAsia" w:cs="宋体" w:asciiTheme="minorEastAsia" w:hAnsiTheme="minorEastAsia"/>
                <w:color w:val="auto"/>
                <w:spacing w:val="10"/>
                <w:sz w:val="24"/>
                <w:szCs w:val="24"/>
              </w:rPr>
              <w:t>价×(1-</w:t>
            </w:r>
            <w:r>
              <w:rPr>
                <w:rFonts w:hint="eastAsia" w:cs="宋体" w:asciiTheme="minorEastAsia" w:hAnsiTheme="minorEastAsia"/>
                <w:color w:val="auto"/>
                <w:spacing w:val="10"/>
                <w:sz w:val="24"/>
                <w:szCs w:val="24"/>
                <w:lang w:eastAsia="zh-CN"/>
              </w:rPr>
              <w:t>20%</w:t>
            </w:r>
            <w:r>
              <w:rPr>
                <w:rFonts w:hint="eastAsia" w:cs="宋体" w:asciiTheme="minorEastAsia" w:hAnsiTheme="minorEastAsia"/>
                <w:color w:val="auto"/>
                <w:spacing w:val="10"/>
                <w:sz w:val="24"/>
                <w:szCs w:val="24"/>
              </w:rPr>
              <w:t>)</w:t>
            </w:r>
          </w:p>
        </w:tc>
      </w:tr>
      <w:tr w14:paraId="5D7F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675" w:type="dxa"/>
            <w:vAlign w:val="center"/>
          </w:tcPr>
          <w:p w14:paraId="011DE83E">
            <w:pPr>
              <w:autoSpaceDE w:val="0"/>
              <w:autoSpaceDN w:val="0"/>
              <w:adjustRightInd w:val="0"/>
              <w:spacing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2</w:t>
            </w:r>
          </w:p>
        </w:tc>
        <w:tc>
          <w:tcPr>
            <w:tcW w:w="2625" w:type="dxa"/>
            <w:vAlign w:val="center"/>
          </w:tcPr>
          <w:p w14:paraId="66D4EF4E">
            <w:pPr>
              <w:autoSpaceDE w:val="0"/>
              <w:autoSpaceDN w:val="0"/>
              <w:adjustRightInd w:val="0"/>
              <w:spacing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联合体各方均为小型、微型企业</w:t>
            </w:r>
          </w:p>
        </w:tc>
        <w:tc>
          <w:tcPr>
            <w:tcW w:w="2850" w:type="dxa"/>
            <w:vAlign w:val="center"/>
          </w:tcPr>
          <w:p w14:paraId="4ABF41EB">
            <w:pPr>
              <w:autoSpaceDE w:val="0"/>
              <w:autoSpaceDN w:val="0"/>
              <w:adjustRightInd w:val="0"/>
              <w:spacing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对小型和微型企业报价扣除</w:t>
            </w:r>
            <w:r>
              <w:rPr>
                <w:rFonts w:hint="eastAsia" w:cs="宋体" w:asciiTheme="minorEastAsia" w:hAnsiTheme="minorEastAsia"/>
                <w:color w:val="auto"/>
                <w:sz w:val="24"/>
                <w:szCs w:val="24"/>
                <w:lang w:eastAsia="zh-CN"/>
              </w:rPr>
              <w:t>20%</w:t>
            </w:r>
            <w:r>
              <w:rPr>
                <w:rFonts w:hint="eastAsia" w:cs="宋体" w:asciiTheme="minorEastAsia" w:hAnsiTheme="minorEastAsia"/>
                <w:color w:val="auto"/>
                <w:sz w:val="24"/>
                <w:szCs w:val="24"/>
              </w:rPr>
              <w:t>（不再享受序号3的价格折扣）</w:t>
            </w:r>
          </w:p>
        </w:tc>
        <w:tc>
          <w:tcPr>
            <w:tcW w:w="3578" w:type="dxa"/>
            <w:vMerge w:val="continue"/>
            <w:vAlign w:val="center"/>
          </w:tcPr>
          <w:p w14:paraId="0FA18095">
            <w:pPr>
              <w:autoSpaceDE w:val="0"/>
              <w:autoSpaceDN w:val="0"/>
              <w:adjustRightInd w:val="0"/>
              <w:spacing w:line="360" w:lineRule="auto"/>
              <w:jc w:val="center"/>
              <w:rPr>
                <w:rFonts w:cs="宋体" w:asciiTheme="minorEastAsia" w:hAnsiTheme="minorEastAsia"/>
                <w:color w:val="auto"/>
                <w:sz w:val="24"/>
                <w:szCs w:val="24"/>
              </w:rPr>
            </w:pPr>
          </w:p>
        </w:tc>
      </w:tr>
      <w:tr w14:paraId="48908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675" w:type="dxa"/>
            <w:vAlign w:val="center"/>
          </w:tcPr>
          <w:p w14:paraId="65A91376">
            <w:pPr>
              <w:autoSpaceDE w:val="0"/>
              <w:autoSpaceDN w:val="0"/>
              <w:adjustRightInd w:val="0"/>
              <w:spacing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3</w:t>
            </w:r>
          </w:p>
        </w:tc>
        <w:tc>
          <w:tcPr>
            <w:tcW w:w="2625" w:type="dxa"/>
            <w:vAlign w:val="center"/>
          </w:tcPr>
          <w:p w14:paraId="55E3D022">
            <w:pPr>
              <w:autoSpaceDE w:val="0"/>
              <w:autoSpaceDN w:val="0"/>
              <w:adjustRightInd w:val="0"/>
              <w:spacing w:line="360" w:lineRule="auto"/>
              <w:jc w:val="center"/>
              <w:rPr>
                <w:rFonts w:cs="宋体" w:asciiTheme="minorEastAsia" w:hAnsiTheme="minorEastAsia"/>
                <w:color w:val="auto"/>
                <w:sz w:val="24"/>
                <w:szCs w:val="24"/>
              </w:rPr>
            </w:pPr>
            <w:r>
              <w:rPr>
                <w:rFonts w:hint="eastAsia" w:cs="宋体" w:asciiTheme="minorEastAsia" w:hAnsiTheme="minorEastAsia"/>
                <w:color w:val="auto"/>
                <w:spacing w:val="-1"/>
                <w:sz w:val="24"/>
                <w:szCs w:val="24"/>
              </w:rPr>
              <w:t>接受大中型</w:t>
            </w:r>
            <w:r>
              <w:rPr>
                <w:rFonts w:hint="eastAsia" w:cs="宋体" w:asciiTheme="minorEastAsia" w:hAnsiTheme="minorEastAsia"/>
                <w:color w:val="auto"/>
                <w:sz w:val="24"/>
                <w:szCs w:val="24"/>
              </w:rPr>
              <w:t>企业与小微企业</w:t>
            </w:r>
            <w:r>
              <w:rPr>
                <w:rFonts w:hint="eastAsia" w:cs="宋体" w:asciiTheme="minorEastAsia" w:hAnsiTheme="minorEastAsia"/>
                <w:color w:val="auto"/>
                <w:spacing w:val="-1"/>
                <w:sz w:val="24"/>
                <w:szCs w:val="24"/>
              </w:rPr>
              <w:t>组成联合体或者允</w:t>
            </w:r>
            <w:r>
              <w:rPr>
                <w:rFonts w:hint="eastAsia" w:cs="宋体" w:asciiTheme="minorEastAsia" w:hAnsiTheme="minorEastAsia"/>
                <w:color w:val="auto"/>
                <w:sz w:val="24"/>
                <w:szCs w:val="24"/>
              </w:rPr>
              <w:t xml:space="preserve">许大中型 </w:t>
            </w:r>
            <w:r>
              <w:rPr>
                <w:rFonts w:hint="eastAsia" w:cs="宋体" w:asciiTheme="minorEastAsia" w:hAnsiTheme="minorEastAsia"/>
                <w:color w:val="auto"/>
                <w:spacing w:val="-1"/>
                <w:sz w:val="24"/>
                <w:szCs w:val="24"/>
              </w:rPr>
              <w:t>企业向一家或者多</w:t>
            </w:r>
            <w:r>
              <w:rPr>
                <w:rFonts w:hint="eastAsia" w:cs="宋体" w:asciiTheme="minorEastAsia" w:hAnsiTheme="minorEastAsia"/>
                <w:color w:val="auto"/>
                <w:sz w:val="24"/>
                <w:szCs w:val="24"/>
              </w:rPr>
              <w:t>家小微企业</w:t>
            </w:r>
          </w:p>
        </w:tc>
        <w:tc>
          <w:tcPr>
            <w:tcW w:w="2850" w:type="dxa"/>
            <w:vAlign w:val="center"/>
          </w:tcPr>
          <w:p w14:paraId="5CBCA877">
            <w:pPr>
              <w:autoSpaceDE w:val="0"/>
              <w:autoSpaceDN w:val="0"/>
              <w:adjustRightInd w:val="0"/>
              <w:spacing w:line="360" w:lineRule="auto"/>
              <w:jc w:val="both"/>
              <w:rPr>
                <w:rFonts w:hint="eastAsia" w:cs="宋体" w:asciiTheme="minorEastAsia" w:hAnsiTheme="minorEastAsia" w:eastAsiaTheme="minorEastAsia"/>
                <w:color w:val="auto"/>
                <w:spacing w:val="4"/>
                <w:sz w:val="24"/>
                <w:szCs w:val="24"/>
                <w:lang w:eastAsia="zh-CN"/>
              </w:rPr>
            </w:pPr>
            <w:r>
              <w:rPr>
                <w:rFonts w:hint="eastAsia" w:cs="宋体" w:asciiTheme="minorEastAsia" w:hAnsiTheme="minorEastAsia"/>
                <w:color w:val="auto"/>
                <w:spacing w:val="4"/>
                <w:sz w:val="24"/>
                <w:szCs w:val="24"/>
              </w:rPr>
              <w:t>对联合体或者大中型企业的报价扣除</w:t>
            </w:r>
            <w:r>
              <w:rPr>
                <w:rFonts w:hint="eastAsia" w:cs="宋体" w:asciiTheme="minorEastAsia" w:hAnsiTheme="minorEastAsia"/>
                <w:color w:val="auto"/>
                <w:spacing w:val="4"/>
                <w:sz w:val="24"/>
                <w:szCs w:val="24"/>
                <w:lang w:eastAsia="zh-CN"/>
              </w:rPr>
              <w:t>6%</w:t>
            </w:r>
          </w:p>
        </w:tc>
        <w:tc>
          <w:tcPr>
            <w:tcW w:w="3578" w:type="dxa"/>
            <w:vAlign w:val="center"/>
          </w:tcPr>
          <w:p w14:paraId="6B454B46">
            <w:pPr>
              <w:autoSpaceDE w:val="0"/>
              <w:autoSpaceDN w:val="0"/>
              <w:adjustRightInd w:val="0"/>
              <w:spacing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评标价格＝投标报价×(1-</w:t>
            </w:r>
            <w:r>
              <w:rPr>
                <w:rFonts w:hint="eastAsia" w:cs="宋体" w:asciiTheme="minorEastAsia" w:hAnsiTheme="minorEastAsia"/>
                <w:color w:val="auto"/>
                <w:sz w:val="24"/>
                <w:szCs w:val="24"/>
                <w:lang w:eastAsia="zh-CN"/>
              </w:rPr>
              <w:t>6%</w:t>
            </w:r>
            <w:r>
              <w:rPr>
                <w:rFonts w:hint="eastAsia" w:cs="宋体" w:asciiTheme="minorEastAsia" w:hAnsiTheme="minorEastAsia"/>
                <w:color w:val="auto"/>
                <w:sz w:val="24"/>
                <w:szCs w:val="24"/>
              </w:rPr>
              <w:t>)</w:t>
            </w:r>
          </w:p>
        </w:tc>
      </w:tr>
      <w:tr w14:paraId="2136A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675" w:type="dxa"/>
            <w:vAlign w:val="center"/>
          </w:tcPr>
          <w:p w14:paraId="6C2A41C1">
            <w:pPr>
              <w:autoSpaceDE w:val="0"/>
              <w:autoSpaceDN w:val="0"/>
              <w:adjustRightInd w:val="0"/>
              <w:spacing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4</w:t>
            </w:r>
          </w:p>
        </w:tc>
        <w:tc>
          <w:tcPr>
            <w:tcW w:w="2625" w:type="dxa"/>
            <w:vAlign w:val="center"/>
          </w:tcPr>
          <w:p w14:paraId="29F96BA8">
            <w:pPr>
              <w:autoSpaceDE w:val="0"/>
              <w:autoSpaceDN w:val="0"/>
              <w:adjustRightInd w:val="0"/>
              <w:spacing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监狱企业</w:t>
            </w:r>
          </w:p>
        </w:tc>
        <w:tc>
          <w:tcPr>
            <w:tcW w:w="2850" w:type="dxa"/>
          </w:tcPr>
          <w:p w14:paraId="04864A86">
            <w:pPr>
              <w:autoSpaceDE w:val="0"/>
              <w:autoSpaceDN w:val="0"/>
              <w:adjustRightInd w:val="0"/>
              <w:spacing w:line="360" w:lineRule="auto"/>
              <w:jc w:val="center"/>
              <w:rPr>
                <w:rFonts w:hint="eastAsia" w:cs="宋体" w:asciiTheme="minorEastAsia" w:hAnsiTheme="minorEastAsia" w:eastAsiaTheme="minorEastAsia"/>
                <w:color w:val="auto"/>
                <w:spacing w:val="4"/>
                <w:sz w:val="24"/>
                <w:szCs w:val="24"/>
                <w:lang w:eastAsia="zh-CN"/>
              </w:rPr>
            </w:pPr>
            <w:r>
              <w:rPr>
                <w:rFonts w:hint="eastAsia" w:cs="宋体" w:asciiTheme="minorEastAsia" w:hAnsiTheme="minorEastAsia"/>
                <w:color w:val="auto"/>
                <w:spacing w:val="4"/>
                <w:sz w:val="24"/>
                <w:szCs w:val="24"/>
              </w:rPr>
              <w:t>对监狱企业产品价格扣除</w:t>
            </w:r>
            <w:r>
              <w:rPr>
                <w:rFonts w:hint="eastAsia" w:cs="宋体" w:asciiTheme="minorEastAsia" w:hAnsiTheme="minorEastAsia"/>
                <w:color w:val="auto"/>
                <w:spacing w:val="4"/>
                <w:sz w:val="24"/>
                <w:szCs w:val="24"/>
                <w:lang w:eastAsia="zh-CN"/>
              </w:rPr>
              <w:t>20%</w:t>
            </w:r>
          </w:p>
        </w:tc>
        <w:tc>
          <w:tcPr>
            <w:tcW w:w="3578" w:type="dxa"/>
          </w:tcPr>
          <w:p w14:paraId="1B8E9AB0">
            <w:pPr>
              <w:autoSpaceDE w:val="0"/>
              <w:autoSpaceDN w:val="0"/>
              <w:adjustRightInd w:val="0"/>
              <w:spacing w:line="360" w:lineRule="auto"/>
              <w:jc w:val="center"/>
              <w:rPr>
                <w:rFonts w:hint="eastAsia" w:cs="宋体" w:asciiTheme="minorEastAsia" w:hAnsiTheme="minorEastAsia" w:eastAsiaTheme="minorEastAsia"/>
                <w:color w:val="auto"/>
                <w:sz w:val="24"/>
                <w:szCs w:val="24"/>
                <w:lang w:eastAsia="zh-CN"/>
              </w:rPr>
            </w:pPr>
            <w:r>
              <w:rPr>
                <w:rFonts w:hint="eastAsia" w:cs="宋体" w:asciiTheme="minorEastAsia" w:hAnsiTheme="minorEastAsia"/>
                <w:color w:val="auto"/>
                <w:sz w:val="24"/>
                <w:szCs w:val="24"/>
              </w:rPr>
              <w:t>评标价格＝投标报价—监狱企业产品的价格×</w:t>
            </w:r>
            <w:r>
              <w:rPr>
                <w:rFonts w:hint="eastAsia" w:cs="宋体" w:asciiTheme="minorEastAsia" w:hAnsiTheme="minorEastAsia"/>
                <w:color w:val="auto"/>
                <w:sz w:val="24"/>
                <w:szCs w:val="24"/>
                <w:lang w:eastAsia="zh-CN"/>
              </w:rPr>
              <w:t>20%</w:t>
            </w:r>
          </w:p>
        </w:tc>
      </w:tr>
      <w:tr w14:paraId="7AEF6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675" w:type="dxa"/>
            <w:vAlign w:val="center"/>
          </w:tcPr>
          <w:p w14:paraId="489DCF6E">
            <w:pPr>
              <w:autoSpaceDE w:val="0"/>
              <w:autoSpaceDN w:val="0"/>
              <w:adjustRightInd w:val="0"/>
              <w:spacing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5</w:t>
            </w:r>
          </w:p>
        </w:tc>
        <w:tc>
          <w:tcPr>
            <w:tcW w:w="2625" w:type="dxa"/>
            <w:vAlign w:val="center"/>
          </w:tcPr>
          <w:p w14:paraId="22FE7EE7">
            <w:pPr>
              <w:autoSpaceDE w:val="0"/>
              <w:autoSpaceDN w:val="0"/>
              <w:adjustRightInd w:val="0"/>
              <w:spacing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残疾人福利性单位</w:t>
            </w:r>
          </w:p>
        </w:tc>
        <w:tc>
          <w:tcPr>
            <w:tcW w:w="2850" w:type="dxa"/>
          </w:tcPr>
          <w:p w14:paraId="31E54C68">
            <w:pPr>
              <w:autoSpaceDE w:val="0"/>
              <w:autoSpaceDN w:val="0"/>
              <w:adjustRightInd w:val="0"/>
              <w:spacing w:line="360" w:lineRule="auto"/>
              <w:jc w:val="center"/>
              <w:rPr>
                <w:rFonts w:hint="eastAsia" w:cs="宋体" w:asciiTheme="minorEastAsia" w:hAnsiTheme="minorEastAsia" w:eastAsiaTheme="minorEastAsia"/>
                <w:color w:val="auto"/>
                <w:spacing w:val="4"/>
                <w:sz w:val="24"/>
                <w:szCs w:val="24"/>
                <w:lang w:eastAsia="zh-CN"/>
              </w:rPr>
            </w:pPr>
            <w:r>
              <w:rPr>
                <w:rFonts w:hint="eastAsia" w:cs="宋体" w:asciiTheme="minorEastAsia" w:hAnsiTheme="minorEastAsia"/>
                <w:color w:val="auto"/>
                <w:spacing w:val="4"/>
                <w:sz w:val="24"/>
                <w:szCs w:val="24"/>
              </w:rPr>
              <w:t>对残疾人福利性单位产品价格扣除</w:t>
            </w:r>
            <w:r>
              <w:rPr>
                <w:rFonts w:hint="eastAsia" w:cs="宋体" w:asciiTheme="minorEastAsia" w:hAnsiTheme="minorEastAsia"/>
                <w:color w:val="auto"/>
                <w:spacing w:val="4"/>
                <w:sz w:val="24"/>
                <w:szCs w:val="24"/>
                <w:lang w:eastAsia="zh-CN"/>
              </w:rPr>
              <w:t>20%</w:t>
            </w:r>
          </w:p>
        </w:tc>
        <w:tc>
          <w:tcPr>
            <w:tcW w:w="3578" w:type="dxa"/>
          </w:tcPr>
          <w:p w14:paraId="2B42D105">
            <w:pPr>
              <w:autoSpaceDE w:val="0"/>
              <w:autoSpaceDN w:val="0"/>
              <w:adjustRightInd w:val="0"/>
              <w:spacing w:line="360" w:lineRule="auto"/>
              <w:jc w:val="center"/>
              <w:rPr>
                <w:rFonts w:hint="eastAsia" w:cs="宋体" w:asciiTheme="minorEastAsia" w:hAnsiTheme="minorEastAsia" w:eastAsiaTheme="minorEastAsia"/>
                <w:color w:val="auto"/>
                <w:sz w:val="24"/>
                <w:szCs w:val="24"/>
                <w:lang w:eastAsia="zh-CN"/>
              </w:rPr>
            </w:pPr>
            <w:r>
              <w:rPr>
                <w:rFonts w:hint="eastAsia" w:cs="宋体" w:asciiTheme="minorEastAsia" w:hAnsiTheme="minorEastAsia"/>
                <w:color w:val="auto"/>
                <w:sz w:val="24"/>
                <w:szCs w:val="24"/>
              </w:rPr>
              <w:t>评标价格＝投标报价—残疾人福利性单位产品的价格×</w:t>
            </w:r>
            <w:r>
              <w:rPr>
                <w:rFonts w:hint="eastAsia" w:cs="宋体" w:asciiTheme="minorEastAsia" w:hAnsiTheme="minorEastAsia"/>
                <w:color w:val="auto"/>
                <w:sz w:val="24"/>
                <w:szCs w:val="24"/>
                <w:lang w:eastAsia="zh-CN"/>
              </w:rPr>
              <w:t>20%</w:t>
            </w:r>
          </w:p>
        </w:tc>
      </w:tr>
      <w:tr w14:paraId="2845B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9728" w:type="dxa"/>
            <w:gridSpan w:val="4"/>
          </w:tcPr>
          <w:p w14:paraId="61E956A3">
            <w:pPr>
              <w:autoSpaceDE w:val="0"/>
              <w:autoSpaceDN w:val="0"/>
              <w:adjustRightInd w:val="0"/>
              <w:spacing w:line="360" w:lineRule="auto"/>
              <w:rPr>
                <w:rFonts w:cs="宋体" w:asciiTheme="minorEastAsia" w:hAnsiTheme="minorEastAsia"/>
                <w:color w:val="auto"/>
                <w:sz w:val="24"/>
                <w:szCs w:val="24"/>
              </w:rPr>
            </w:pPr>
            <w:r>
              <w:rPr>
                <w:rFonts w:cs="宋体" w:asciiTheme="minorEastAsia" w:hAnsiTheme="minorEastAsia"/>
                <w:color w:val="auto"/>
                <w:spacing w:val="-10"/>
                <w:sz w:val="24"/>
                <w:szCs w:val="24"/>
              </w:rPr>
              <w:t>1、中小</w:t>
            </w:r>
            <w:r>
              <w:rPr>
                <w:rFonts w:cs="宋体" w:asciiTheme="minorEastAsia" w:hAnsiTheme="minorEastAsia"/>
                <w:color w:val="auto"/>
                <w:spacing w:val="-6"/>
                <w:sz w:val="24"/>
                <w:szCs w:val="24"/>
              </w:rPr>
              <w:t>企</w:t>
            </w:r>
            <w:r>
              <w:rPr>
                <w:rFonts w:cs="宋体" w:asciiTheme="minorEastAsia" w:hAnsiTheme="minorEastAsia"/>
                <w:color w:val="auto"/>
                <w:spacing w:val="-5"/>
                <w:sz w:val="24"/>
                <w:szCs w:val="24"/>
              </w:rPr>
              <w:t>业应在投标文件提供《中小企业声明函》。监狱企业应当在投标文件中提供由省级</w:t>
            </w:r>
            <w:r>
              <w:rPr>
                <w:rFonts w:cs="宋体" w:asciiTheme="minorEastAsia" w:hAnsiTheme="minorEastAsia"/>
                <w:color w:val="auto"/>
                <w:spacing w:val="-4"/>
                <w:sz w:val="24"/>
                <w:szCs w:val="24"/>
              </w:rPr>
              <w:t>以上监狱管理局、戒毒管</w:t>
            </w:r>
            <w:r>
              <w:rPr>
                <w:rFonts w:cs="宋体" w:asciiTheme="minorEastAsia" w:hAnsiTheme="minorEastAsia"/>
                <w:color w:val="auto"/>
                <w:spacing w:val="-3"/>
                <w:sz w:val="24"/>
                <w:szCs w:val="24"/>
              </w:rPr>
              <w:t>理</w:t>
            </w:r>
            <w:r>
              <w:rPr>
                <w:rFonts w:cs="宋体" w:asciiTheme="minorEastAsia" w:hAnsiTheme="minorEastAsia"/>
                <w:color w:val="auto"/>
                <w:spacing w:val="-2"/>
                <w:sz w:val="24"/>
                <w:szCs w:val="24"/>
              </w:rPr>
              <w:t>局</w:t>
            </w:r>
            <w:r>
              <w:rPr>
                <w:rFonts w:hint="eastAsia" w:cs="宋体" w:asciiTheme="minorEastAsia" w:hAnsiTheme="minorEastAsia"/>
                <w:color w:val="auto"/>
                <w:spacing w:val="-2"/>
                <w:sz w:val="24"/>
                <w:szCs w:val="24"/>
              </w:rPr>
              <w:t>（</w:t>
            </w:r>
            <w:r>
              <w:rPr>
                <w:rFonts w:cs="宋体" w:asciiTheme="minorEastAsia" w:hAnsiTheme="minorEastAsia"/>
                <w:color w:val="auto"/>
                <w:spacing w:val="-2"/>
                <w:sz w:val="24"/>
                <w:szCs w:val="24"/>
              </w:rPr>
              <w:t>含新疆生产建设兵团</w:t>
            </w:r>
            <w:r>
              <w:rPr>
                <w:rFonts w:hint="eastAsia" w:cs="宋体" w:asciiTheme="minorEastAsia" w:hAnsiTheme="minorEastAsia"/>
                <w:color w:val="auto"/>
                <w:spacing w:val="-2"/>
                <w:sz w:val="24"/>
                <w:szCs w:val="24"/>
              </w:rPr>
              <w:t>）</w:t>
            </w:r>
            <w:r>
              <w:rPr>
                <w:rFonts w:cs="宋体" w:asciiTheme="minorEastAsia" w:hAnsiTheme="minorEastAsia"/>
                <w:color w:val="auto"/>
                <w:spacing w:val="-2"/>
                <w:sz w:val="24"/>
                <w:szCs w:val="24"/>
              </w:rPr>
              <w:t>出具的属于监狱企业的证明文件。残疾人福</w:t>
            </w:r>
            <w:r>
              <w:rPr>
                <w:rFonts w:cs="宋体" w:asciiTheme="minorEastAsia" w:hAnsiTheme="minorEastAsia"/>
                <w:color w:val="auto"/>
                <w:spacing w:val="-8"/>
                <w:sz w:val="24"/>
                <w:szCs w:val="24"/>
              </w:rPr>
              <w:t>利</w:t>
            </w:r>
            <w:r>
              <w:rPr>
                <w:rFonts w:cs="宋体" w:asciiTheme="minorEastAsia" w:hAnsiTheme="minorEastAsia"/>
                <w:color w:val="auto"/>
                <w:spacing w:val="-5"/>
                <w:sz w:val="24"/>
                <w:szCs w:val="24"/>
              </w:rPr>
              <w:t>性</w:t>
            </w:r>
            <w:r>
              <w:rPr>
                <w:rFonts w:cs="宋体" w:asciiTheme="minorEastAsia" w:hAnsiTheme="minorEastAsia"/>
                <w:color w:val="auto"/>
                <w:spacing w:val="-4"/>
                <w:sz w:val="24"/>
                <w:szCs w:val="24"/>
              </w:rPr>
              <w:t>单位应当在投标文件中提供《残疾人福利性单位声明函》。</w:t>
            </w:r>
          </w:p>
          <w:p w14:paraId="79AAF724">
            <w:pPr>
              <w:autoSpaceDE w:val="0"/>
              <w:autoSpaceDN w:val="0"/>
              <w:adjustRightInd w:val="0"/>
              <w:spacing w:line="360" w:lineRule="auto"/>
              <w:rPr>
                <w:rFonts w:cs="宋体" w:asciiTheme="minorEastAsia" w:hAnsiTheme="minorEastAsia"/>
                <w:color w:val="auto"/>
                <w:sz w:val="24"/>
                <w:szCs w:val="24"/>
              </w:rPr>
            </w:pPr>
            <w:r>
              <w:rPr>
                <w:rFonts w:cs="宋体" w:asciiTheme="minorEastAsia" w:hAnsiTheme="minorEastAsia"/>
                <w:color w:val="auto"/>
                <w:spacing w:val="-1"/>
                <w:sz w:val="24"/>
                <w:szCs w:val="24"/>
              </w:rPr>
              <w:t>2、经评标</w:t>
            </w:r>
            <w:r>
              <w:rPr>
                <w:rFonts w:cs="宋体" w:asciiTheme="minorEastAsia" w:hAnsiTheme="minorEastAsia"/>
                <w:color w:val="auto"/>
                <w:sz w:val="24"/>
                <w:szCs w:val="24"/>
              </w:rPr>
              <w:t>委员会审查、评价，投标文件符合招标文件实质性要求且进行了政策性价格扣除</w:t>
            </w:r>
            <w:r>
              <w:rPr>
                <w:rFonts w:cs="宋体" w:asciiTheme="minorEastAsia" w:hAnsiTheme="minorEastAsia"/>
                <w:color w:val="auto"/>
                <w:spacing w:val="-5"/>
                <w:sz w:val="24"/>
                <w:szCs w:val="24"/>
              </w:rPr>
              <w:t>后，以评标价格的最低价者定为评标基准价，其价格分为满分。其他投标人的价格分统一按下列</w:t>
            </w:r>
            <w:r>
              <w:rPr>
                <w:rFonts w:cs="宋体" w:asciiTheme="minorEastAsia" w:hAnsiTheme="minorEastAsia"/>
                <w:color w:val="auto"/>
                <w:spacing w:val="-13"/>
                <w:sz w:val="24"/>
                <w:szCs w:val="24"/>
              </w:rPr>
              <w:t>公</w:t>
            </w:r>
            <w:r>
              <w:rPr>
                <w:rFonts w:cs="宋体" w:asciiTheme="minorEastAsia" w:hAnsiTheme="minorEastAsia"/>
                <w:color w:val="auto"/>
                <w:spacing w:val="-8"/>
                <w:sz w:val="24"/>
                <w:szCs w:val="24"/>
              </w:rPr>
              <w:t>式计算。即：</w:t>
            </w:r>
          </w:p>
          <w:p w14:paraId="700D3DF7">
            <w:pPr>
              <w:autoSpaceDE w:val="0"/>
              <w:autoSpaceDN w:val="0"/>
              <w:adjustRightInd w:val="0"/>
              <w:spacing w:line="360" w:lineRule="auto"/>
              <w:rPr>
                <w:rFonts w:cs="宋体" w:asciiTheme="minorEastAsia" w:hAnsiTheme="minorEastAsia"/>
                <w:color w:val="auto"/>
                <w:sz w:val="24"/>
                <w:szCs w:val="24"/>
              </w:rPr>
            </w:pPr>
            <w:r>
              <w:rPr>
                <w:rFonts w:cs="宋体" w:asciiTheme="minorEastAsia" w:hAnsiTheme="minorEastAsia"/>
                <w:color w:val="auto"/>
                <w:spacing w:val="-1"/>
                <w:sz w:val="24"/>
                <w:szCs w:val="24"/>
              </w:rPr>
              <w:t>评标基准价=</w:t>
            </w:r>
            <w:r>
              <w:rPr>
                <w:rFonts w:cs="宋体" w:asciiTheme="minorEastAsia" w:hAnsiTheme="minorEastAsia"/>
                <w:color w:val="auto"/>
                <w:sz w:val="24"/>
                <w:szCs w:val="24"/>
              </w:rPr>
              <w:t>评标价格的最低价</w:t>
            </w:r>
          </w:p>
          <w:p w14:paraId="5CAA0434">
            <w:pPr>
              <w:autoSpaceDE w:val="0"/>
              <w:autoSpaceDN w:val="0"/>
              <w:adjustRightInd w:val="0"/>
              <w:spacing w:line="360" w:lineRule="auto"/>
              <w:rPr>
                <w:rFonts w:cs="宋体" w:asciiTheme="minorEastAsia" w:hAnsiTheme="minorEastAsia"/>
                <w:color w:val="auto"/>
                <w:spacing w:val="-1"/>
                <w:sz w:val="24"/>
                <w:szCs w:val="24"/>
              </w:rPr>
            </w:pPr>
            <w:r>
              <w:rPr>
                <w:rFonts w:cs="宋体" w:asciiTheme="minorEastAsia" w:hAnsiTheme="minorEastAsia"/>
                <w:color w:val="auto"/>
                <w:spacing w:val="-1"/>
                <w:sz w:val="24"/>
                <w:szCs w:val="24"/>
              </w:rPr>
              <w:t>其他投标报价</w:t>
            </w:r>
            <w:r>
              <w:rPr>
                <w:rFonts w:cs="宋体" w:asciiTheme="minorEastAsia" w:hAnsiTheme="minorEastAsia"/>
                <w:color w:val="auto"/>
                <w:sz w:val="24"/>
                <w:szCs w:val="24"/>
              </w:rPr>
              <w:t>得分=(评标基准价/评标价格)×评标标准中价格分值</w:t>
            </w:r>
          </w:p>
        </w:tc>
      </w:tr>
    </w:tbl>
    <w:p w14:paraId="3D0B517A">
      <w:pPr>
        <w:autoSpaceDE w:val="0"/>
        <w:autoSpaceDN w:val="0"/>
        <w:adjustRightInd w:val="0"/>
        <w:spacing w:line="360" w:lineRule="auto"/>
        <w:rPr>
          <w:rFonts w:cs="宋体" w:asciiTheme="minorEastAsia" w:hAnsiTheme="minorEastAsia"/>
          <w:color w:val="auto"/>
          <w:spacing w:val="8"/>
          <w:sz w:val="24"/>
          <w:szCs w:val="28"/>
        </w:rPr>
      </w:pPr>
      <w:r>
        <w:rPr>
          <w:rFonts w:hint="eastAsia" w:cs="宋体" w:asciiTheme="minorEastAsia" w:hAnsiTheme="minorEastAsia"/>
          <w:color w:val="auto"/>
          <w:spacing w:val="8"/>
          <w:sz w:val="24"/>
          <w:szCs w:val="28"/>
        </w:rPr>
        <w:t>备注：</w:t>
      </w:r>
    </w:p>
    <w:p w14:paraId="5CBB1C86">
      <w:pPr>
        <w:spacing w:line="360" w:lineRule="auto"/>
        <w:ind w:firstLine="480" w:firstLineChars="200"/>
        <w:rPr>
          <w:rFonts w:cs="宋体" w:asciiTheme="minorEastAsia" w:hAnsiTheme="minorEastAsia"/>
          <w:color w:val="auto"/>
          <w:sz w:val="24"/>
          <w:szCs w:val="28"/>
        </w:rPr>
      </w:pPr>
      <w:r>
        <w:rPr>
          <w:rFonts w:hint="eastAsia" w:cs="宋体" w:asciiTheme="minorEastAsia" w:hAnsiTheme="minorEastAsia"/>
          <w:color w:val="auto"/>
          <w:sz w:val="24"/>
          <w:szCs w:val="28"/>
        </w:rPr>
        <w:t>a.不接受联合体投标的项目，本表中第2项、第3项情形不适用。</w:t>
      </w:r>
    </w:p>
    <w:p w14:paraId="5F7FD695">
      <w:pPr>
        <w:spacing w:line="360" w:lineRule="auto"/>
        <w:ind w:firstLine="480" w:firstLineChars="200"/>
        <w:rPr>
          <w:rFonts w:cs="宋体" w:asciiTheme="minorEastAsia" w:hAnsiTheme="minorEastAsia"/>
          <w:color w:val="auto"/>
          <w:sz w:val="24"/>
          <w:szCs w:val="28"/>
        </w:rPr>
      </w:pPr>
      <w:r>
        <w:rPr>
          <w:rFonts w:hint="eastAsia" w:cs="宋体" w:asciiTheme="minorEastAsia" w:hAnsiTheme="minorEastAsia"/>
          <w:color w:val="auto"/>
          <w:sz w:val="24"/>
          <w:szCs w:val="28"/>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14:paraId="60DB1B5A">
      <w:pPr>
        <w:spacing w:line="360" w:lineRule="auto"/>
        <w:ind w:firstLine="480" w:firstLineChars="200"/>
        <w:rPr>
          <w:rFonts w:cs="宋体" w:asciiTheme="minorEastAsia" w:hAnsiTheme="minorEastAsia"/>
          <w:color w:val="auto"/>
          <w:sz w:val="24"/>
          <w:szCs w:val="28"/>
        </w:rPr>
      </w:pPr>
      <w:r>
        <w:rPr>
          <w:rFonts w:hint="eastAsia" w:cs="宋体" w:asciiTheme="minorEastAsia" w:hAnsiTheme="minorEastAsia"/>
          <w:color w:val="auto"/>
          <w:sz w:val="24"/>
          <w:szCs w:val="28"/>
        </w:rPr>
        <w:t>c.中小企业、残疾人福利性单位提供其他企业制造的货物的，则该货物的制造商也必须为上述企业，否则不能享受价格优惠。</w:t>
      </w:r>
    </w:p>
    <w:p w14:paraId="7A74CA04">
      <w:pPr>
        <w:pStyle w:val="24"/>
        <w:spacing w:line="360" w:lineRule="auto"/>
        <w:ind w:firstLine="352" w:firstLineChars="147"/>
        <w:contextualSpacing/>
        <w:rPr>
          <w:rFonts w:hint="eastAsia" w:cs="宋体" w:asciiTheme="minorEastAsia" w:hAnsiTheme="minorEastAsia"/>
          <w:color w:val="auto"/>
          <w:sz w:val="24"/>
          <w:szCs w:val="24"/>
        </w:rPr>
      </w:pPr>
      <w:r>
        <w:rPr>
          <w:rFonts w:hint="eastAsia" w:cs="宋体" w:asciiTheme="minorEastAsia" w:hAnsiTheme="minorEastAsia"/>
          <w:color w:val="auto"/>
          <w:sz w:val="24"/>
          <w:szCs w:val="24"/>
        </w:rPr>
        <w:t>d.残疾人福利性单位属于小型、微型企业的</w:t>
      </w:r>
    </w:p>
    <w:p w14:paraId="463ABB9E">
      <w:pPr>
        <w:pStyle w:val="24"/>
        <w:spacing w:line="360" w:lineRule="auto"/>
        <w:ind w:firstLine="354" w:firstLineChars="147"/>
        <w:contextualSpacing/>
        <w:rPr>
          <w:rFonts w:ascii="宋体" w:hAnsi="宋体" w:cs="仿宋_GB2312"/>
          <w:color w:val="auto"/>
          <w:sz w:val="24"/>
          <w:szCs w:val="24"/>
          <w:lang w:val="zh-CN"/>
        </w:rPr>
      </w:pPr>
      <w:r>
        <w:rPr>
          <w:rFonts w:hint="eastAsia" w:ascii="宋体" w:hAnsi="宋体" w:cs="仿宋_GB2312"/>
          <w:b/>
          <w:color w:val="auto"/>
          <w:sz w:val="24"/>
          <w:szCs w:val="24"/>
          <w:lang w:val="zh-CN"/>
        </w:rPr>
        <w:t>（</w:t>
      </w:r>
      <w:r>
        <w:rPr>
          <w:rFonts w:hint="eastAsia" w:ascii="宋体" w:hAnsi="宋体" w:cs="仿宋_GB2312"/>
          <w:b/>
          <w:color w:val="auto"/>
          <w:sz w:val="24"/>
          <w:szCs w:val="24"/>
          <w:lang w:val="en-US" w:eastAsia="zh-CN"/>
        </w:rPr>
        <w:t>7</w:t>
      </w:r>
      <w:r>
        <w:rPr>
          <w:rFonts w:hint="eastAsia" w:ascii="宋体" w:hAnsi="宋体" w:cs="仿宋_GB2312"/>
          <w:b/>
          <w:color w:val="auto"/>
          <w:sz w:val="24"/>
          <w:szCs w:val="24"/>
          <w:lang w:val="zh-CN"/>
        </w:rPr>
        <w:t>）</w:t>
      </w:r>
      <w:r>
        <w:rPr>
          <w:rFonts w:ascii="宋体" w:hAnsi="宋体" w:cs="仿宋_GB2312"/>
          <w:b/>
          <w:color w:val="auto"/>
          <w:sz w:val="24"/>
          <w:szCs w:val="24"/>
          <w:lang w:val="zh-CN"/>
        </w:rPr>
        <w:t>评标结果汇总完成后，除下列情形外，任何人不得修改评标结果：</w:t>
      </w:r>
    </w:p>
    <w:p w14:paraId="3888117F">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1）</w:t>
      </w:r>
      <w:r>
        <w:rPr>
          <w:rFonts w:ascii="宋体" w:hAnsi="宋体"/>
          <w:bCs/>
          <w:color w:val="auto"/>
          <w:sz w:val="24"/>
          <w:szCs w:val="24"/>
          <w:lang w:val="en-GB"/>
        </w:rPr>
        <w:t>分值汇总计算错误的；</w:t>
      </w:r>
    </w:p>
    <w:p w14:paraId="5CBD576B">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2）</w:t>
      </w:r>
      <w:r>
        <w:rPr>
          <w:rFonts w:ascii="宋体" w:hAnsi="宋体"/>
          <w:bCs/>
          <w:color w:val="auto"/>
          <w:sz w:val="24"/>
          <w:szCs w:val="24"/>
          <w:lang w:val="en-GB"/>
        </w:rPr>
        <w:t>分项评分超出评分标准范围的；</w:t>
      </w:r>
    </w:p>
    <w:p w14:paraId="1E1C6DBD">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3）</w:t>
      </w:r>
      <w:r>
        <w:rPr>
          <w:rFonts w:ascii="宋体" w:hAnsi="宋体"/>
          <w:bCs/>
          <w:color w:val="auto"/>
          <w:sz w:val="24"/>
          <w:szCs w:val="24"/>
          <w:lang w:val="en-GB"/>
        </w:rPr>
        <w:t>评标委员会成员对客观评审因素评分不一致的；</w:t>
      </w:r>
    </w:p>
    <w:p w14:paraId="30BA6B4B">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4）</w:t>
      </w:r>
      <w:r>
        <w:rPr>
          <w:rFonts w:ascii="宋体" w:hAnsi="宋体"/>
          <w:bCs/>
          <w:color w:val="auto"/>
          <w:sz w:val="24"/>
          <w:szCs w:val="24"/>
          <w:lang w:val="en-GB"/>
        </w:rPr>
        <w:t>经评标委员会认定评分畸高、畸低的。</w:t>
      </w:r>
    </w:p>
    <w:p w14:paraId="78066367">
      <w:pPr>
        <w:spacing w:line="360" w:lineRule="auto"/>
        <w:ind w:firstLine="480" w:firstLineChars="200"/>
        <w:rPr>
          <w:rFonts w:ascii="宋体" w:hAnsi="宋体"/>
          <w:bCs/>
          <w:color w:val="auto"/>
          <w:sz w:val="24"/>
          <w:szCs w:val="24"/>
          <w:lang w:val="en-GB"/>
        </w:rPr>
      </w:pPr>
      <w:r>
        <w:rPr>
          <w:rFonts w:ascii="宋体" w:hAnsi="宋体"/>
          <w:bCs/>
          <w:color w:val="auto"/>
          <w:sz w:val="24"/>
          <w:szCs w:val="24"/>
          <w:lang w:val="en-GB"/>
        </w:rPr>
        <w:t>评标报告签署前，经复核发现存在以上情形之一的，评标委员会应当当场修</w:t>
      </w:r>
      <w:r>
        <w:rPr>
          <w:rFonts w:ascii="宋体" w:hAnsi="宋体" w:cs="仿宋_GB2312"/>
          <w:color w:val="auto"/>
          <w:sz w:val="24"/>
          <w:szCs w:val="24"/>
          <w:lang w:val="zh-CN"/>
        </w:rPr>
        <w:t>改评标结</w:t>
      </w:r>
      <w:r>
        <w:rPr>
          <w:rFonts w:ascii="宋体" w:hAnsi="宋体"/>
          <w:bCs/>
          <w:color w:val="auto"/>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14:paraId="3C538AFA">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eastAsia="zh-CN"/>
        </w:rPr>
        <w:t>投标人</w:t>
      </w:r>
      <w:r>
        <w:rPr>
          <w:rFonts w:ascii="宋体" w:hAnsi="宋体"/>
          <w:bCs/>
          <w:color w:val="auto"/>
          <w:sz w:val="24"/>
          <w:szCs w:val="24"/>
          <w:lang w:val="en-GB"/>
        </w:rPr>
        <w:t>对本条第一款情形提出质疑的，采购人或者采购代理机构可以组织原评标委员会进行重新评审，重新评审改变评标结果的，应当书面报告本级财政部门。</w:t>
      </w:r>
    </w:p>
    <w:p w14:paraId="4CB259C6">
      <w:pPr>
        <w:tabs>
          <w:tab w:val="left" w:pos="1260"/>
        </w:tabs>
        <w:autoSpaceDE w:val="0"/>
        <w:autoSpaceDN w:val="0"/>
        <w:spacing w:line="360" w:lineRule="auto"/>
        <w:ind w:firstLine="354" w:firstLineChars="147"/>
        <w:contextualSpacing/>
        <w:rPr>
          <w:rFonts w:ascii="宋体" w:hAnsi="宋体" w:cs="仿宋_GB2312"/>
          <w:color w:val="auto"/>
          <w:spacing w:val="-4"/>
          <w:sz w:val="24"/>
          <w:szCs w:val="24"/>
          <w:lang w:val="zh-CN"/>
        </w:rPr>
      </w:pPr>
      <w:r>
        <w:rPr>
          <w:rFonts w:hint="eastAsia" w:ascii="宋体" w:hAnsi="宋体" w:cs="仿宋_GB2312"/>
          <w:b/>
          <w:color w:val="auto"/>
          <w:sz w:val="24"/>
          <w:szCs w:val="24"/>
          <w:lang w:val="zh-CN"/>
        </w:rPr>
        <w:t>（</w:t>
      </w:r>
      <w:r>
        <w:rPr>
          <w:rFonts w:hint="eastAsia" w:ascii="宋体" w:hAnsi="宋体" w:cs="仿宋_GB2312"/>
          <w:b/>
          <w:color w:val="auto"/>
          <w:sz w:val="24"/>
          <w:szCs w:val="24"/>
          <w:lang w:val="en-US" w:eastAsia="zh-CN"/>
        </w:rPr>
        <w:t>8</w:t>
      </w:r>
      <w:r>
        <w:rPr>
          <w:rFonts w:hint="eastAsia" w:ascii="宋体" w:hAnsi="宋体" w:cs="仿宋_GB2312"/>
          <w:b/>
          <w:color w:val="auto"/>
          <w:sz w:val="24"/>
          <w:szCs w:val="24"/>
          <w:lang w:val="zh-CN"/>
        </w:rPr>
        <w:t>）</w:t>
      </w:r>
      <w:r>
        <w:rPr>
          <w:rFonts w:ascii="宋体" w:hAnsi="宋体" w:cs="仿宋_GB2312"/>
          <w:b/>
          <w:color w:val="auto"/>
          <w:sz w:val="24"/>
          <w:szCs w:val="24"/>
          <w:lang w:val="zh-CN"/>
        </w:rPr>
        <w:t>评标委员会</w:t>
      </w:r>
      <w:r>
        <w:rPr>
          <w:rFonts w:hint="eastAsia" w:ascii="宋体" w:hAnsi="宋体" w:cs="仿宋_GB2312"/>
          <w:b/>
          <w:color w:val="auto"/>
          <w:sz w:val="24"/>
          <w:szCs w:val="24"/>
          <w:lang w:val="zh-CN"/>
        </w:rPr>
        <w:t>争议处理</w:t>
      </w:r>
    </w:p>
    <w:p w14:paraId="77468570">
      <w:pPr>
        <w:spacing w:line="360" w:lineRule="auto"/>
        <w:ind w:firstLine="480" w:firstLineChars="200"/>
        <w:rPr>
          <w:rFonts w:ascii="宋体" w:hAnsi="宋体"/>
          <w:bCs/>
          <w:color w:val="auto"/>
          <w:sz w:val="24"/>
          <w:szCs w:val="24"/>
          <w:lang w:val="en-GB"/>
        </w:rPr>
      </w:pPr>
      <w:r>
        <w:rPr>
          <w:rFonts w:ascii="宋体" w:hAnsi="宋体"/>
          <w:bCs/>
          <w:color w:val="auto"/>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14:paraId="119F7E94">
      <w:pPr>
        <w:pStyle w:val="24"/>
        <w:spacing w:line="360" w:lineRule="auto"/>
        <w:ind w:firstLine="482" w:firstLineChars="200"/>
        <w:contextualSpacing/>
        <w:rPr>
          <w:color w:val="auto"/>
          <w:lang w:val="en-GB"/>
        </w:rPr>
      </w:pPr>
      <w:r>
        <w:rPr>
          <w:rFonts w:hint="eastAsia" w:ascii="宋体" w:hAnsi="宋体" w:cs="仿宋_GB2312"/>
          <w:b/>
          <w:color w:val="auto"/>
          <w:sz w:val="24"/>
          <w:szCs w:val="24"/>
          <w:lang w:val="zh-CN"/>
        </w:rPr>
        <w:t>4、</w:t>
      </w:r>
      <w:r>
        <w:rPr>
          <w:rFonts w:ascii="宋体" w:hAnsi="宋体" w:cs="仿宋_GB2312"/>
          <w:b/>
          <w:color w:val="auto"/>
          <w:sz w:val="24"/>
          <w:szCs w:val="24"/>
          <w:lang w:val="zh-CN"/>
        </w:rPr>
        <w:t>确定中标候选人名单，以及根据采购人委托直接确定中标人</w:t>
      </w:r>
      <w:r>
        <w:rPr>
          <w:rFonts w:hint="eastAsia" w:ascii="宋体" w:hAnsi="宋体" w:cs="仿宋_GB2312"/>
          <w:b/>
          <w:color w:val="auto"/>
          <w:sz w:val="24"/>
          <w:szCs w:val="24"/>
          <w:lang w:val="zh-CN"/>
        </w:rPr>
        <w:t>。评标委员会按照得分由高到低的顺序推荐3名中标候选人。</w:t>
      </w:r>
    </w:p>
    <w:p w14:paraId="4C836DF1">
      <w:pPr>
        <w:pageBreakBefore/>
        <w:autoSpaceDE w:val="0"/>
        <w:autoSpaceDN w:val="0"/>
        <w:adjustRightInd w:val="0"/>
        <w:spacing w:line="360" w:lineRule="auto"/>
        <w:ind w:left="0" w:leftChars="0" w:firstLine="0" w:firstLineChars="0"/>
        <w:contextualSpacing/>
        <w:jc w:val="center"/>
        <w:outlineLvl w:val="0"/>
        <w:rPr>
          <w:rFonts w:ascii="宋体" w:hAnsi="宋体" w:cs="宋体"/>
          <w:color w:val="auto"/>
          <w:sz w:val="22"/>
        </w:rPr>
      </w:pPr>
      <w:r>
        <w:rPr>
          <w:rFonts w:hint="eastAsia" w:ascii="宋体" w:hAnsi="宋体" w:cs="宋体"/>
          <w:b/>
          <w:bCs/>
          <w:color w:val="auto"/>
          <w:kern w:val="0"/>
          <w:sz w:val="36"/>
          <w:szCs w:val="32"/>
        </w:rPr>
        <w:t>第七章 合同条款及格式</w:t>
      </w:r>
    </w:p>
    <w:p w14:paraId="3156B438">
      <w:pPr>
        <w:pStyle w:val="3"/>
        <w:rPr>
          <w:rFonts w:hint="default"/>
          <w:color w:val="auto"/>
        </w:rPr>
      </w:pPr>
    </w:p>
    <w:p w14:paraId="7F0FDEFA">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（以最终采购人与中标人签定的合同条款为准进行公示，</w:t>
      </w:r>
    </w:p>
    <w:p w14:paraId="251A2AD3">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最终签定合同的主要条款不能与招标文件有冲突。）</w:t>
      </w:r>
    </w:p>
    <w:p w14:paraId="1169B7B9">
      <w:pPr>
        <w:spacing w:line="360" w:lineRule="auto"/>
        <w:rPr>
          <w:rFonts w:asciiTheme="minorEastAsia" w:hAnsiTheme="minorEastAsia" w:eastAsiaTheme="minorEastAsia"/>
          <w:color w:val="auto"/>
          <w:sz w:val="24"/>
          <w:szCs w:val="24"/>
        </w:rPr>
      </w:pPr>
    </w:p>
    <w:p w14:paraId="5523947B">
      <w:pPr>
        <w:spacing w:line="360" w:lineRule="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甲方：</w:t>
      </w:r>
      <w:r>
        <w:rPr>
          <w:rFonts w:hint="eastAsia" w:asciiTheme="minorEastAsia" w:hAnsiTheme="minorEastAsia" w:eastAsiaTheme="minorEastAsia"/>
          <w:color w:val="auto"/>
          <w:sz w:val="24"/>
          <w:szCs w:val="24"/>
          <w:lang w:eastAsia="zh-CN"/>
        </w:rPr>
        <w:t>许昌市建安区水利局</w:t>
      </w:r>
    </w:p>
    <w:p w14:paraId="653F47CD">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乙方：</w:t>
      </w:r>
      <w:r>
        <w:rPr>
          <w:rFonts w:hint="eastAsia" w:asciiTheme="minorEastAsia" w:hAnsiTheme="minorEastAsia" w:eastAsiaTheme="minorEastAsia"/>
          <w:color w:val="auto"/>
          <w:sz w:val="24"/>
          <w:szCs w:val="24"/>
          <w:u w:val="single"/>
        </w:rPr>
        <w:t>（中标人全称）</w:t>
      </w:r>
    </w:p>
    <w:p w14:paraId="0D14AFBE">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根据招标编号为的（填写“项目名称”）项目（以下简称：“本项目”）的招标结果，乙方为中标人。现经甲乙双方友好协商，就以下事项达成一致并签订本合同：</w:t>
      </w:r>
    </w:p>
    <w:p w14:paraId="0B0388E3">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1、下列合同文件是构成本合同不可分割的部分：</w:t>
      </w:r>
    </w:p>
    <w:p w14:paraId="60D642D0">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1.1合同条款；</w:t>
      </w:r>
    </w:p>
    <w:p w14:paraId="435F493D">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1.2招标文件、乙方的投标文件</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中标通知书</w:t>
      </w:r>
      <w:r>
        <w:rPr>
          <w:rFonts w:hint="eastAsia" w:asciiTheme="minorEastAsia" w:hAnsiTheme="minorEastAsia" w:eastAsiaTheme="minorEastAsia"/>
          <w:color w:val="auto"/>
          <w:sz w:val="24"/>
          <w:szCs w:val="24"/>
        </w:rPr>
        <w:t>；</w:t>
      </w:r>
    </w:p>
    <w:p w14:paraId="6B9C4E35">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1.3其他文件或材料：□无。</w:t>
      </w:r>
      <w:r>
        <w:rPr>
          <w:rFonts w:hint="eastAsia" w:asciiTheme="minorEastAsia" w:hAnsiTheme="minorEastAsia" w:eastAsiaTheme="minorEastAsia"/>
          <w:color w:val="auto"/>
          <w:sz w:val="24"/>
          <w:szCs w:val="24"/>
          <w:u w:val="single"/>
        </w:rPr>
        <w:t>□（按照实际情况编制填写需要增加的内容）</w:t>
      </w:r>
      <w:r>
        <w:rPr>
          <w:rFonts w:hint="eastAsia" w:asciiTheme="minorEastAsia" w:hAnsiTheme="minorEastAsia" w:eastAsiaTheme="minorEastAsia"/>
          <w:color w:val="auto"/>
          <w:sz w:val="24"/>
          <w:szCs w:val="24"/>
        </w:rPr>
        <w:t>。</w:t>
      </w:r>
    </w:p>
    <w:p w14:paraId="2343DF65">
      <w:pPr>
        <w:spacing w:line="360" w:lineRule="auto"/>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lang w:val="en-US" w:eastAsia="zh-CN"/>
        </w:rPr>
        <w:t>合同内容及期限</w:t>
      </w:r>
    </w:p>
    <w:p w14:paraId="43B90BB1">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2.</w:t>
      </w: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eastAsia="zh-CN"/>
        </w:rPr>
        <w:t>合同</w:t>
      </w:r>
      <w:r>
        <w:rPr>
          <w:rFonts w:hint="eastAsia" w:asciiTheme="minorEastAsia" w:hAnsiTheme="minorEastAsia" w:eastAsiaTheme="minorEastAsia"/>
          <w:color w:val="auto"/>
          <w:sz w:val="24"/>
          <w:szCs w:val="24"/>
        </w:rPr>
        <w:t>内容：</w:t>
      </w:r>
      <w:r>
        <w:rPr>
          <w:rFonts w:hint="eastAsia" w:asciiTheme="minorEastAsia" w:hAnsiTheme="minorEastAsia" w:eastAsiaTheme="minorEastAsia"/>
          <w:color w:val="auto"/>
          <w:sz w:val="24"/>
          <w:szCs w:val="24"/>
          <w:u w:val="single"/>
          <w:lang w:val="en-US" w:eastAsia="zh-CN"/>
        </w:rPr>
        <w:t xml:space="preserve">                         </w:t>
      </w:r>
      <w:r>
        <w:rPr>
          <w:rFonts w:hint="eastAsia" w:asciiTheme="minorEastAsia" w:hAnsiTheme="minorEastAsia" w:eastAsiaTheme="minorEastAsia"/>
          <w:color w:val="auto"/>
          <w:sz w:val="24"/>
          <w:szCs w:val="24"/>
        </w:rPr>
        <w:t>。</w:t>
      </w:r>
    </w:p>
    <w:p w14:paraId="01EC9082">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 xml:space="preserve">2.2 </w:t>
      </w:r>
      <w:r>
        <w:rPr>
          <w:rFonts w:hint="eastAsia" w:asciiTheme="minorEastAsia" w:hAnsiTheme="minorEastAsia" w:eastAsiaTheme="minorEastAsia"/>
          <w:color w:val="auto"/>
          <w:sz w:val="24"/>
          <w:szCs w:val="24"/>
        </w:rPr>
        <w:t>合同期限为</w:t>
      </w:r>
      <w:r>
        <w:rPr>
          <w:rFonts w:hint="eastAsia" w:asciiTheme="minorEastAsia" w:hAnsiTheme="minorEastAsia" w:eastAsiaTheme="minorEastAsia"/>
          <w:color w:val="auto"/>
          <w:sz w:val="24"/>
          <w:szCs w:val="24"/>
          <w:u w:val="single"/>
          <w:lang w:val="en-US" w:eastAsia="zh-CN"/>
        </w:rPr>
        <w:t xml:space="preserve">   </w:t>
      </w:r>
      <w:r>
        <w:rPr>
          <w:rFonts w:hint="eastAsia" w:asciiTheme="minorEastAsia" w:hAnsiTheme="minorEastAsia" w:eastAsiaTheme="minorEastAsia"/>
          <w:color w:val="auto"/>
          <w:sz w:val="24"/>
          <w:szCs w:val="24"/>
        </w:rPr>
        <w:t>年，即自</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日起至</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日止。</w:t>
      </w:r>
    </w:p>
    <w:p w14:paraId="1CE6F76F">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3、服务承诺</w:t>
      </w:r>
    </w:p>
    <w:p w14:paraId="6163054C">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lang w:val="en-US" w:eastAsia="zh-CN"/>
        </w:rPr>
        <w:t xml:space="preserve">                                </w:t>
      </w:r>
      <w:r>
        <w:rPr>
          <w:rFonts w:hint="eastAsia" w:asciiTheme="minorEastAsia" w:hAnsiTheme="minorEastAsia" w:eastAsiaTheme="minorEastAsia"/>
          <w:color w:val="auto"/>
          <w:sz w:val="24"/>
          <w:szCs w:val="24"/>
        </w:rPr>
        <w:t>。</w:t>
      </w:r>
    </w:p>
    <w:p w14:paraId="5F47F046">
      <w:pPr>
        <w:spacing w:line="360" w:lineRule="auto"/>
        <w:ind w:firstLine="480" w:firstLineChars="20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lang w:eastAsia="zh-CN"/>
        </w:rPr>
        <w:t>费用支付标准</w:t>
      </w:r>
    </w:p>
    <w:p w14:paraId="1677FAAD">
      <w:pPr>
        <w:spacing w:line="360" w:lineRule="auto"/>
        <w:ind w:firstLine="480" w:firstLineChars="200"/>
        <w:rPr>
          <w:rFonts w:hint="default"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u w:val="single"/>
          <w:lang w:val="en-US" w:eastAsia="zh-CN"/>
        </w:rPr>
        <w:t xml:space="preserve">                              </w:t>
      </w:r>
    </w:p>
    <w:p w14:paraId="37A6F4DD">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5、法律责任：</w:t>
      </w:r>
    </w:p>
    <w:p w14:paraId="540C0F57">
      <w:pPr>
        <w:spacing w:line="360" w:lineRule="auto"/>
        <w:ind w:firstLine="480" w:firstLineChars="200"/>
        <w:rPr>
          <w:rFonts w:hint="eastAsia" w:asciiTheme="minorEastAsia" w:hAnsiTheme="minorEastAsia" w:eastAsiaTheme="minorEastAsia"/>
          <w:b w:val="0"/>
          <w:bCs w:val="0"/>
          <w:color w:val="auto"/>
          <w:sz w:val="24"/>
          <w:szCs w:val="24"/>
          <w:u w:val="none"/>
          <w:lang w:val="en-US" w:eastAsia="zh-CN"/>
        </w:rPr>
      </w:pPr>
      <w:r>
        <w:rPr>
          <w:rFonts w:hint="eastAsia" w:asciiTheme="minorEastAsia" w:hAnsiTheme="minorEastAsia" w:eastAsiaTheme="minorEastAsia"/>
          <w:b w:val="0"/>
          <w:bCs w:val="0"/>
          <w:color w:val="auto"/>
          <w:sz w:val="24"/>
          <w:szCs w:val="24"/>
          <w:u w:val="none"/>
          <w:lang w:val="en-US" w:eastAsia="zh-CN"/>
        </w:rPr>
        <w:t>5.1 甲方的责任</w:t>
      </w:r>
    </w:p>
    <w:p w14:paraId="1EC089F1">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lang w:val="en-US" w:eastAsia="zh-CN"/>
        </w:rPr>
        <w:t xml:space="preserve">                          </w:t>
      </w:r>
      <w:r>
        <w:rPr>
          <w:rFonts w:hint="eastAsia" w:asciiTheme="minorEastAsia" w:hAnsiTheme="minorEastAsia" w:eastAsiaTheme="minorEastAsia"/>
          <w:color w:val="auto"/>
          <w:sz w:val="24"/>
          <w:szCs w:val="24"/>
        </w:rPr>
        <w:t>。</w:t>
      </w:r>
    </w:p>
    <w:p w14:paraId="691388C0">
      <w:pPr>
        <w:spacing w:line="360" w:lineRule="auto"/>
        <w:ind w:firstLine="480" w:firstLineChars="200"/>
        <w:rPr>
          <w:rFonts w:hint="eastAsia" w:asciiTheme="minorEastAsia" w:hAnsiTheme="minorEastAsia" w:eastAsiaTheme="minorEastAsia"/>
          <w:b w:val="0"/>
          <w:bCs w:val="0"/>
          <w:color w:val="auto"/>
          <w:sz w:val="24"/>
          <w:szCs w:val="24"/>
          <w:u w:val="none"/>
          <w:lang w:val="en-US" w:eastAsia="zh-CN"/>
        </w:rPr>
      </w:pPr>
      <w:r>
        <w:rPr>
          <w:rFonts w:hint="eastAsia" w:asciiTheme="minorEastAsia" w:hAnsiTheme="minorEastAsia" w:eastAsiaTheme="minorEastAsia"/>
          <w:b w:val="0"/>
          <w:bCs w:val="0"/>
          <w:color w:val="auto"/>
          <w:sz w:val="24"/>
          <w:szCs w:val="24"/>
          <w:u w:val="none"/>
          <w:lang w:val="en-US" w:eastAsia="zh-CN"/>
        </w:rPr>
        <w:t>5.2 乙方的责任</w:t>
      </w:r>
    </w:p>
    <w:p w14:paraId="4836C489">
      <w:pPr>
        <w:spacing w:line="360" w:lineRule="auto"/>
        <w:ind w:firstLine="480" w:firstLineChars="200"/>
        <w:rPr>
          <w:rFonts w:hint="default" w:cs="Times New Roman" w:asciiTheme="minorEastAsia" w:hAnsiTheme="minorEastAsia" w:eastAsiaTheme="minorEastAsia"/>
          <w:color w:val="auto"/>
          <w:sz w:val="24"/>
          <w:szCs w:val="24"/>
          <w:u w:val="single"/>
          <w:lang w:val="en-US"/>
        </w:rPr>
      </w:pPr>
      <w:r>
        <w:rPr>
          <w:rFonts w:hint="eastAsia" w:cs="Times New Roman" w:asciiTheme="minorEastAsia" w:hAnsiTheme="minorEastAsia" w:eastAsiaTheme="minorEastAsia"/>
          <w:b w:val="0"/>
          <w:bCs w:val="0"/>
          <w:color w:val="auto"/>
          <w:sz w:val="24"/>
          <w:szCs w:val="24"/>
          <w:u w:val="single"/>
          <w:lang w:val="en-US" w:eastAsia="zh-CN"/>
        </w:rPr>
        <w:t xml:space="preserve">                          </w:t>
      </w:r>
      <w:r>
        <w:rPr>
          <w:rFonts w:hint="eastAsia" w:cs="Times New Roman" w:asciiTheme="minorEastAsia" w:hAnsiTheme="minorEastAsia" w:eastAsiaTheme="minorEastAsia"/>
          <w:b w:val="0"/>
          <w:bCs w:val="0"/>
          <w:color w:val="auto"/>
          <w:sz w:val="24"/>
          <w:szCs w:val="24"/>
          <w:u w:val="none"/>
          <w:lang w:val="en-US" w:eastAsia="zh-CN"/>
        </w:rPr>
        <w:t>。</w:t>
      </w:r>
    </w:p>
    <w:p w14:paraId="537C6010">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6、验收</w:t>
      </w:r>
    </w:p>
    <w:p w14:paraId="2EE42F44">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6.1验收应按照招标文件、乙方投标文件的规定或约定进行，具体如下：</w:t>
      </w:r>
    </w:p>
    <w:p w14:paraId="4F53D53C">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w:t>
      </w:r>
      <w:r>
        <w:rPr>
          <w:rFonts w:hint="eastAsia" w:asciiTheme="minorEastAsia" w:hAnsiTheme="minorEastAsia" w:eastAsiaTheme="minorEastAsia"/>
          <w:color w:val="auto"/>
          <w:sz w:val="24"/>
          <w:szCs w:val="24"/>
        </w:rPr>
        <w:t>。</w:t>
      </w:r>
    </w:p>
    <w:p w14:paraId="12C4B2D1">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6.2本项目是否邀请其他</w:t>
      </w:r>
      <w:r>
        <w:rPr>
          <w:rFonts w:hint="eastAsia" w:asciiTheme="minorEastAsia" w:hAnsiTheme="minorEastAsia" w:eastAsiaTheme="minorEastAsia"/>
          <w:color w:val="auto"/>
          <w:sz w:val="24"/>
          <w:szCs w:val="24"/>
          <w:lang w:eastAsia="zh-CN"/>
        </w:rPr>
        <w:t>投标人</w:t>
      </w:r>
      <w:r>
        <w:rPr>
          <w:rFonts w:hint="eastAsia" w:asciiTheme="minorEastAsia" w:hAnsiTheme="minorEastAsia" w:eastAsiaTheme="minorEastAsia"/>
          <w:color w:val="auto"/>
          <w:sz w:val="24"/>
          <w:szCs w:val="24"/>
        </w:rPr>
        <w:t>参与验收：</w:t>
      </w:r>
    </w:p>
    <w:p w14:paraId="48832F98">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□不邀请。□邀请，具体如下：</w:t>
      </w:r>
      <w:r>
        <w:rPr>
          <w:rFonts w:hint="eastAsia" w:asciiTheme="minorEastAsia" w:hAnsiTheme="minorEastAsia" w:eastAsiaTheme="minorEastAsia"/>
          <w:color w:val="auto"/>
          <w:sz w:val="24"/>
          <w:szCs w:val="24"/>
          <w:u w:val="single"/>
        </w:rPr>
        <w:t>（按照招标文件规定填写）</w:t>
      </w:r>
      <w:r>
        <w:rPr>
          <w:rFonts w:hint="eastAsia" w:asciiTheme="minorEastAsia" w:hAnsiTheme="minorEastAsia" w:eastAsiaTheme="minorEastAsia"/>
          <w:color w:val="auto"/>
          <w:sz w:val="24"/>
          <w:szCs w:val="24"/>
        </w:rPr>
        <w:t>。</w:t>
      </w:r>
    </w:p>
    <w:p w14:paraId="3CD06915">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7、合同款项的支付应按照招标文件的规定进行，具体如下：</w:t>
      </w:r>
    </w:p>
    <w:p w14:paraId="6BCDDC88">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（按照实际情况编制填写，可以是表格或文字描述，包括一次性支付或分期支付等）</w:t>
      </w:r>
      <w:r>
        <w:rPr>
          <w:rFonts w:hint="eastAsia" w:asciiTheme="minorEastAsia" w:hAnsiTheme="minorEastAsia" w:eastAsiaTheme="minorEastAsia"/>
          <w:color w:val="auto"/>
          <w:sz w:val="24"/>
          <w:szCs w:val="24"/>
        </w:rPr>
        <w:t>。</w:t>
      </w:r>
    </w:p>
    <w:p w14:paraId="0A271517">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8、履约保证金</w:t>
      </w:r>
    </w:p>
    <w:p w14:paraId="4F6351DE">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□无。□有，具体如下：</w:t>
      </w:r>
      <w:r>
        <w:rPr>
          <w:rFonts w:hint="eastAsia" w:asciiTheme="minorEastAsia" w:hAnsiTheme="minorEastAsia" w:eastAsiaTheme="minorEastAsia"/>
          <w:color w:val="auto"/>
          <w:sz w:val="24"/>
          <w:szCs w:val="24"/>
          <w:u w:val="single"/>
        </w:rPr>
        <w:t>（按照招标文件规定填写）</w:t>
      </w:r>
      <w:r>
        <w:rPr>
          <w:rFonts w:hint="eastAsia" w:asciiTheme="minorEastAsia" w:hAnsiTheme="minorEastAsia" w:eastAsiaTheme="minorEastAsia"/>
          <w:color w:val="auto"/>
          <w:sz w:val="24"/>
          <w:szCs w:val="24"/>
        </w:rPr>
        <w:t>。</w:t>
      </w:r>
    </w:p>
    <w:p w14:paraId="02C9CF04">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9、合同有效期</w:t>
      </w:r>
    </w:p>
    <w:p w14:paraId="617D1FEC">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（按照实际情况编制填写，可以是表格或文字描述）</w:t>
      </w:r>
      <w:r>
        <w:rPr>
          <w:rFonts w:hint="eastAsia" w:asciiTheme="minorEastAsia" w:hAnsiTheme="minorEastAsia" w:eastAsiaTheme="minorEastAsia"/>
          <w:color w:val="auto"/>
          <w:sz w:val="24"/>
          <w:szCs w:val="24"/>
        </w:rPr>
        <w:t>。</w:t>
      </w:r>
    </w:p>
    <w:p w14:paraId="24ED85FD">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10、违约责任</w:t>
      </w:r>
    </w:p>
    <w:p w14:paraId="4665550C">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甲、乙双方因履行本合同而发生的争议，应协商解决。协商不成时，依法由甲方所在地的建安区仲裁委员会根据仲裁程序进行</w:t>
      </w:r>
      <w:r>
        <w:rPr>
          <w:rFonts w:hint="eastAsia" w:asciiTheme="minorEastAsia" w:hAnsiTheme="minorEastAsia" w:eastAsiaTheme="minorEastAsia"/>
          <w:color w:val="auto"/>
          <w:sz w:val="24"/>
          <w:szCs w:val="24"/>
        </w:rPr>
        <w:t>。</w:t>
      </w:r>
    </w:p>
    <w:p w14:paraId="51CF94CF">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11、知识产权</w:t>
      </w:r>
    </w:p>
    <w:p w14:paraId="25B09C06">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EB8F660">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olor w:val="auto"/>
          <w:sz w:val="24"/>
          <w:szCs w:val="24"/>
          <w:u w:val="single"/>
        </w:rPr>
        <w:t>（按照实际情况编制填写）</w:t>
      </w:r>
      <w:r>
        <w:rPr>
          <w:rFonts w:hint="eastAsia" w:asciiTheme="minorEastAsia" w:hAnsiTheme="minorEastAsia" w:eastAsiaTheme="minorEastAsia"/>
          <w:color w:val="auto"/>
          <w:sz w:val="24"/>
          <w:szCs w:val="24"/>
        </w:rPr>
        <w:t>。</w:t>
      </w:r>
    </w:p>
    <w:p w14:paraId="510A51A4">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12、解决争议的方法</w:t>
      </w:r>
    </w:p>
    <w:p w14:paraId="63AD4A2A">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12.1甲、乙双方协商解决。</w:t>
      </w:r>
    </w:p>
    <w:p w14:paraId="4E054B9B">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12.2若协商解决不成，则通过下列途径之一解决：</w:t>
      </w:r>
    </w:p>
    <w:p w14:paraId="44973635">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□提交仲裁委员会仲裁，具体如下：</w:t>
      </w:r>
      <w:r>
        <w:rPr>
          <w:rFonts w:hint="eastAsia" w:asciiTheme="minorEastAsia" w:hAnsiTheme="minorEastAsia" w:eastAsiaTheme="minorEastAsia"/>
          <w:color w:val="auto"/>
          <w:sz w:val="24"/>
          <w:szCs w:val="24"/>
          <w:u w:val="single"/>
        </w:rPr>
        <w:t>（按照实际情况编制填写）</w:t>
      </w:r>
      <w:r>
        <w:rPr>
          <w:rFonts w:hint="eastAsia" w:asciiTheme="minorEastAsia" w:hAnsiTheme="minorEastAsia" w:eastAsiaTheme="minorEastAsia"/>
          <w:color w:val="auto"/>
          <w:sz w:val="24"/>
          <w:szCs w:val="24"/>
        </w:rPr>
        <w:t>。</w:t>
      </w:r>
    </w:p>
    <w:p w14:paraId="7F1C46EC">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□向人民法院提起诉讼，具体如下：</w:t>
      </w:r>
      <w:r>
        <w:rPr>
          <w:rFonts w:hint="eastAsia" w:asciiTheme="minorEastAsia" w:hAnsiTheme="minorEastAsia" w:eastAsiaTheme="minorEastAsia"/>
          <w:color w:val="auto"/>
          <w:sz w:val="24"/>
          <w:szCs w:val="24"/>
          <w:u w:val="single"/>
        </w:rPr>
        <w:t>（按照实际情况编制填写）</w:t>
      </w:r>
      <w:r>
        <w:rPr>
          <w:rFonts w:hint="eastAsia" w:asciiTheme="minorEastAsia" w:hAnsiTheme="minorEastAsia" w:eastAsiaTheme="minorEastAsia"/>
          <w:color w:val="auto"/>
          <w:sz w:val="24"/>
          <w:szCs w:val="24"/>
        </w:rPr>
        <w:t>。</w:t>
      </w:r>
    </w:p>
    <w:p w14:paraId="70F54BBA">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13、不可抗力</w:t>
      </w:r>
    </w:p>
    <w:p w14:paraId="4138436D">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0F63C99">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3C566A7E">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14、合同条款</w:t>
      </w:r>
    </w:p>
    <w:p w14:paraId="4BA1C2E8">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color w:val="auto"/>
          <w:sz w:val="24"/>
          <w:szCs w:val="24"/>
        </w:rPr>
        <w:t>。</w:t>
      </w:r>
    </w:p>
    <w:p w14:paraId="20B1AD25">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15、其他约定</w:t>
      </w:r>
    </w:p>
    <w:p w14:paraId="33D858BA">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15.1合同文件与本合同具有同等法律效力。</w:t>
      </w:r>
    </w:p>
    <w:p w14:paraId="51A495BF">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15.2本合同未尽事宜，双方可另行补充。</w:t>
      </w:r>
    </w:p>
    <w:p w14:paraId="497DD290">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15.3合同生效：自签订之日起生效。</w:t>
      </w:r>
    </w:p>
    <w:p w14:paraId="7664D202">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15.4本合同一式</w:t>
      </w:r>
      <w:r>
        <w:rPr>
          <w:rFonts w:hint="eastAsia" w:asciiTheme="minorEastAsia" w:hAnsiTheme="minorEastAsia" w:eastAsiaTheme="minorEastAsia"/>
          <w:color w:val="auto"/>
          <w:sz w:val="24"/>
          <w:szCs w:val="24"/>
          <w:u w:val="single"/>
        </w:rPr>
        <w:t>（填写具体份数）</w:t>
      </w:r>
      <w:r>
        <w:rPr>
          <w:rFonts w:hint="eastAsia" w:asciiTheme="minorEastAsia" w:hAnsiTheme="minorEastAsia" w:eastAsiaTheme="minorEastAsia"/>
          <w:color w:val="auto"/>
          <w:sz w:val="24"/>
          <w:szCs w:val="24"/>
        </w:rPr>
        <w:t>份，经双方授权代表签字并盖章后生效。甲方、乙方各执</w:t>
      </w:r>
      <w:r>
        <w:rPr>
          <w:rFonts w:hint="eastAsia" w:asciiTheme="minorEastAsia" w:hAnsiTheme="minorEastAsia" w:eastAsiaTheme="minorEastAsia"/>
          <w:color w:val="auto"/>
          <w:sz w:val="24"/>
          <w:szCs w:val="24"/>
          <w:u w:val="single"/>
        </w:rPr>
        <w:t>（填写具体份数）</w:t>
      </w:r>
      <w:r>
        <w:rPr>
          <w:rFonts w:hint="eastAsia" w:asciiTheme="minorEastAsia" w:hAnsiTheme="minorEastAsia" w:eastAsiaTheme="minorEastAsia"/>
          <w:color w:val="auto"/>
          <w:sz w:val="24"/>
          <w:szCs w:val="24"/>
        </w:rPr>
        <w:t>份，送</w:t>
      </w:r>
      <w:r>
        <w:rPr>
          <w:rFonts w:hint="eastAsia" w:asciiTheme="minorEastAsia" w:hAnsiTheme="minorEastAsia" w:eastAsiaTheme="minorEastAsia"/>
          <w:color w:val="auto"/>
          <w:sz w:val="24"/>
          <w:szCs w:val="24"/>
          <w:u w:val="single"/>
        </w:rPr>
        <w:t>（填写需要备案的监管部门的全称）</w:t>
      </w:r>
      <w:r>
        <w:rPr>
          <w:rFonts w:hint="eastAsia" w:asciiTheme="minorEastAsia" w:hAnsiTheme="minorEastAsia" w:eastAsiaTheme="minorEastAsia"/>
          <w:color w:val="auto"/>
          <w:sz w:val="24"/>
          <w:szCs w:val="24"/>
        </w:rPr>
        <w:t>备案</w:t>
      </w:r>
      <w:r>
        <w:rPr>
          <w:rFonts w:hint="eastAsia" w:asciiTheme="minorEastAsia" w:hAnsiTheme="minorEastAsia" w:eastAsiaTheme="minorEastAsia"/>
          <w:color w:val="auto"/>
          <w:sz w:val="24"/>
          <w:szCs w:val="24"/>
          <w:u w:val="single"/>
        </w:rPr>
        <w:t>（填写具体份数）</w:t>
      </w:r>
      <w:r>
        <w:rPr>
          <w:rFonts w:hint="eastAsia" w:asciiTheme="minorEastAsia" w:hAnsiTheme="minorEastAsia" w:eastAsiaTheme="minorEastAsia"/>
          <w:color w:val="auto"/>
          <w:sz w:val="24"/>
          <w:szCs w:val="24"/>
        </w:rPr>
        <w:t>份，具有同等效力。</w:t>
      </w:r>
    </w:p>
    <w:p w14:paraId="5F47F2E9">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15.5其他：□无。□</w:t>
      </w:r>
      <w:r>
        <w:rPr>
          <w:rFonts w:hint="eastAsia" w:asciiTheme="minorEastAsia" w:hAnsiTheme="minorEastAsia" w:eastAsiaTheme="minorEastAsia"/>
          <w:color w:val="auto"/>
          <w:sz w:val="24"/>
          <w:szCs w:val="24"/>
          <w:u w:val="single"/>
        </w:rPr>
        <w:t>（按照实际情况编制填写需要增加的内容）</w:t>
      </w:r>
      <w:r>
        <w:rPr>
          <w:rFonts w:hint="eastAsia" w:asciiTheme="minorEastAsia" w:hAnsiTheme="minorEastAsia" w:eastAsiaTheme="minorEastAsia"/>
          <w:color w:val="auto"/>
          <w:sz w:val="24"/>
          <w:szCs w:val="24"/>
        </w:rPr>
        <w:t>。</w:t>
      </w:r>
    </w:p>
    <w:p w14:paraId="2C6C51D3">
      <w:pPr>
        <w:spacing w:line="360" w:lineRule="auto"/>
        <w:rPr>
          <w:rFonts w:asciiTheme="minorEastAsia" w:hAnsiTheme="minorEastAsia" w:eastAsiaTheme="minorEastAsia"/>
          <w:color w:val="auto"/>
          <w:sz w:val="24"/>
          <w:szCs w:val="24"/>
        </w:rPr>
      </w:pPr>
    </w:p>
    <w:p w14:paraId="6C827D51">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甲方：                          乙方：</w:t>
      </w:r>
    </w:p>
    <w:p w14:paraId="7FF1DCFA">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法定代表人（单位负责人）：      法定代表人（单位负责人）：</w:t>
      </w:r>
    </w:p>
    <w:p w14:paraId="5107FD8A">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联系方法：                      联系方法：</w:t>
      </w:r>
    </w:p>
    <w:p w14:paraId="38BB5E92">
      <w:pPr>
        <w:spacing w:line="360" w:lineRule="auto"/>
        <w:ind w:firstLine="480" w:firstLineChars="200"/>
        <w:rPr>
          <w:rFonts w:asciiTheme="minorEastAsia" w:hAnsiTheme="minorEastAsia" w:eastAsiaTheme="minorEastAsia"/>
          <w:color w:val="auto"/>
          <w:sz w:val="24"/>
          <w:szCs w:val="24"/>
        </w:rPr>
      </w:pPr>
    </w:p>
    <w:p w14:paraId="03D32D02">
      <w:pPr>
        <w:spacing w:line="360" w:lineRule="auto"/>
        <w:ind w:firstLine="480" w:firstLineChars="200"/>
        <w:rPr>
          <w:rFonts w:asciiTheme="minorEastAsia" w:hAnsiTheme="minorEastAsia" w:eastAsiaTheme="minorEastAsia"/>
          <w:color w:val="auto"/>
          <w:sz w:val="24"/>
          <w:szCs w:val="24"/>
        </w:rPr>
      </w:pPr>
    </w:p>
    <w:p w14:paraId="7CF286F4">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签订地点：</w:t>
      </w:r>
    </w:p>
    <w:p w14:paraId="2B4A2D81">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签订日期：    年   月   日</w:t>
      </w:r>
    </w:p>
    <w:p w14:paraId="7F1E3B27">
      <w:pPr>
        <w:pageBreakBefore/>
        <w:jc w:val="center"/>
        <w:outlineLvl w:val="0"/>
        <w:rPr>
          <w:rFonts w:ascii="宋体" w:hAnsi="宋体"/>
          <w:b/>
          <w:color w:val="auto"/>
          <w:sz w:val="36"/>
          <w:szCs w:val="36"/>
        </w:rPr>
      </w:pPr>
      <w:r>
        <w:rPr>
          <w:rFonts w:hint="eastAsia" w:ascii="宋体" w:hAnsi="宋体" w:cs="宋体"/>
          <w:b/>
          <w:color w:val="auto"/>
          <w:sz w:val="36"/>
          <w:szCs w:val="36"/>
        </w:rPr>
        <w:t>第八章 投标文件有关格式</w:t>
      </w:r>
    </w:p>
    <w:p w14:paraId="64177330">
      <w:pPr>
        <w:autoSpaceDE w:val="0"/>
        <w:autoSpaceDN w:val="0"/>
        <w:adjustRightInd w:val="0"/>
        <w:spacing w:line="360" w:lineRule="auto"/>
        <w:jc w:val="center"/>
        <w:rPr>
          <w:rFonts w:ascii="宋体" w:hAnsi="宋体" w:cs="黑体"/>
          <w:b/>
          <w:bCs/>
          <w:color w:val="auto"/>
          <w:sz w:val="44"/>
          <w:szCs w:val="44"/>
          <w:lang w:val="zh-CN"/>
        </w:rPr>
      </w:pPr>
    </w:p>
    <w:p w14:paraId="420E3FB6">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一、投标文件封面格式</w:t>
      </w:r>
    </w:p>
    <w:p w14:paraId="2EEDAD0D">
      <w:pPr>
        <w:autoSpaceDE w:val="0"/>
        <w:autoSpaceDN w:val="0"/>
        <w:adjustRightInd w:val="0"/>
        <w:spacing w:line="360" w:lineRule="auto"/>
        <w:jc w:val="center"/>
        <w:rPr>
          <w:rFonts w:ascii="宋体" w:hAnsi="宋体" w:cs="黑体"/>
          <w:b/>
          <w:bCs/>
          <w:color w:val="auto"/>
          <w:sz w:val="44"/>
          <w:szCs w:val="44"/>
          <w:lang w:val="zh-CN"/>
        </w:rPr>
      </w:pPr>
    </w:p>
    <w:p w14:paraId="7C8443C4">
      <w:pPr>
        <w:autoSpaceDE w:val="0"/>
        <w:autoSpaceDN w:val="0"/>
        <w:adjustRightInd w:val="0"/>
        <w:spacing w:line="360" w:lineRule="auto"/>
        <w:jc w:val="center"/>
        <w:rPr>
          <w:rFonts w:hint="eastAsia" w:ascii="宋体" w:hAnsi="宋体" w:eastAsia="宋体" w:cs="宋体"/>
          <w:b/>
          <w:bCs/>
          <w:color w:val="auto"/>
          <w:sz w:val="44"/>
          <w:szCs w:val="44"/>
          <w:lang w:val="zh-CN"/>
        </w:rPr>
      </w:pPr>
    </w:p>
    <w:p w14:paraId="751D5C47">
      <w:pPr>
        <w:jc w:val="center"/>
        <w:rPr>
          <w:rFonts w:hint="eastAsia" w:ascii="宋体" w:hAnsi="宋体" w:eastAsia="宋体" w:cs="宋体"/>
          <w:color w:val="auto"/>
          <w:sz w:val="28"/>
          <w:szCs w:val="28"/>
        </w:rPr>
      </w:pPr>
      <w:r>
        <w:rPr>
          <w:rFonts w:hint="eastAsia" w:ascii="宋体" w:hAnsi="宋体" w:eastAsia="宋体" w:cs="宋体"/>
          <w:color w:val="auto"/>
          <w:sz w:val="72"/>
          <w:szCs w:val="72"/>
        </w:rPr>
        <w:t>建安区政府采购</w:t>
      </w:r>
    </w:p>
    <w:p w14:paraId="1DA3C384">
      <w:pPr>
        <w:jc w:val="center"/>
        <w:rPr>
          <w:rFonts w:hint="eastAsia" w:ascii="宋体" w:hAnsi="宋体" w:eastAsia="宋体" w:cs="宋体"/>
          <w:color w:val="auto"/>
          <w:sz w:val="28"/>
          <w:szCs w:val="28"/>
        </w:rPr>
      </w:pPr>
    </w:p>
    <w:p w14:paraId="66CA4894">
      <w:pPr>
        <w:spacing w:line="1200" w:lineRule="exact"/>
        <w:jc w:val="center"/>
        <w:rPr>
          <w:rFonts w:hint="eastAsia" w:ascii="宋体" w:hAnsi="宋体" w:eastAsia="宋体" w:cs="宋体"/>
          <w:color w:val="auto"/>
          <w:sz w:val="72"/>
          <w:szCs w:val="72"/>
        </w:rPr>
      </w:pPr>
      <w:r>
        <w:rPr>
          <w:rFonts w:hint="eastAsia" w:ascii="宋体" w:hAnsi="宋体" w:eastAsia="宋体" w:cs="宋体"/>
          <w:color w:val="auto"/>
          <w:sz w:val="72"/>
          <w:szCs w:val="72"/>
        </w:rPr>
        <w:t>投</w:t>
      </w:r>
    </w:p>
    <w:p w14:paraId="3E7F6B71">
      <w:pPr>
        <w:spacing w:line="1200" w:lineRule="exact"/>
        <w:jc w:val="center"/>
        <w:rPr>
          <w:rFonts w:hint="eastAsia" w:ascii="宋体" w:hAnsi="宋体" w:eastAsia="宋体" w:cs="宋体"/>
          <w:color w:val="auto"/>
          <w:sz w:val="72"/>
          <w:szCs w:val="72"/>
        </w:rPr>
      </w:pPr>
      <w:r>
        <w:rPr>
          <w:rFonts w:hint="eastAsia" w:ascii="宋体" w:hAnsi="宋体" w:eastAsia="宋体" w:cs="宋体"/>
          <w:color w:val="auto"/>
          <w:sz w:val="72"/>
          <w:szCs w:val="72"/>
        </w:rPr>
        <w:t>标</w:t>
      </w:r>
    </w:p>
    <w:p w14:paraId="4DFA711C">
      <w:pPr>
        <w:spacing w:line="1200" w:lineRule="exact"/>
        <w:jc w:val="center"/>
        <w:rPr>
          <w:rFonts w:hint="eastAsia" w:ascii="宋体" w:hAnsi="宋体" w:eastAsia="宋体" w:cs="宋体"/>
          <w:color w:val="auto"/>
          <w:sz w:val="72"/>
          <w:szCs w:val="72"/>
        </w:rPr>
      </w:pPr>
      <w:r>
        <w:rPr>
          <w:rFonts w:hint="eastAsia" w:ascii="宋体" w:hAnsi="宋体" w:eastAsia="宋体" w:cs="宋体"/>
          <w:color w:val="auto"/>
          <w:sz w:val="72"/>
          <w:szCs w:val="72"/>
        </w:rPr>
        <w:t>文</w:t>
      </w:r>
    </w:p>
    <w:p w14:paraId="674C372B">
      <w:pPr>
        <w:spacing w:line="1200" w:lineRule="exact"/>
        <w:jc w:val="center"/>
        <w:rPr>
          <w:rFonts w:hint="eastAsia" w:ascii="宋体" w:hAnsi="宋体" w:eastAsia="宋体" w:cs="宋体"/>
          <w:color w:val="auto"/>
          <w:sz w:val="72"/>
          <w:szCs w:val="72"/>
        </w:rPr>
      </w:pPr>
      <w:r>
        <w:rPr>
          <w:rFonts w:hint="eastAsia" w:ascii="宋体" w:hAnsi="宋体" w:eastAsia="宋体" w:cs="宋体"/>
          <w:color w:val="auto"/>
          <w:sz w:val="72"/>
          <w:szCs w:val="72"/>
        </w:rPr>
        <w:t>件</w:t>
      </w:r>
    </w:p>
    <w:p w14:paraId="191C86A8">
      <w:pPr>
        <w:jc w:val="center"/>
        <w:rPr>
          <w:rFonts w:hint="eastAsia" w:ascii="宋体" w:hAnsi="宋体" w:eastAsia="宋体" w:cs="宋体"/>
          <w:color w:val="auto"/>
          <w:sz w:val="28"/>
          <w:szCs w:val="28"/>
        </w:rPr>
      </w:pPr>
      <w:r>
        <w:rPr>
          <w:rFonts w:hint="eastAsia" w:ascii="宋体" w:hAnsi="宋体" w:eastAsia="宋体" w:cs="宋体"/>
          <w:color w:val="auto"/>
          <w:sz w:val="28"/>
          <w:szCs w:val="28"/>
        </w:rPr>
        <w:t>（不见面开标）</w:t>
      </w:r>
    </w:p>
    <w:p w14:paraId="0DC67DEE">
      <w:pPr>
        <w:ind w:firstLine="1280" w:firstLineChars="400"/>
        <w:rPr>
          <w:rFonts w:hint="eastAsia" w:ascii="宋体" w:hAnsi="宋体" w:eastAsia="宋体" w:cs="宋体"/>
          <w:color w:val="auto"/>
          <w:sz w:val="32"/>
          <w:szCs w:val="32"/>
        </w:rPr>
      </w:pPr>
    </w:p>
    <w:p w14:paraId="08D502AD">
      <w:pPr>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项目编号：</w:t>
      </w:r>
    </w:p>
    <w:p w14:paraId="16F104D6">
      <w:pPr>
        <w:tabs>
          <w:tab w:val="center" w:pos="5039"/>
        </w:tabs>
        <w:ind w:firstLine="1280" w:firstLineChars="400"/>
        <w:rPr>
          <w:rFonts w:hint="eastAsia" w:ascii="宋体" w:hAnsi="宋体" w:eastAsia="宋体" w:cs="宋体"/>
          <w:bCs/>
          <w:color w:val="auto"/>
          <w:sz w:val="32"/>
          <w:szCs w:val="32"/>
        </w:rPr>
      </w:pPr>
      <w:r>
        <w:rPr>
          <w:rFonts w:hint="eastAsia" w:ascii="宋体" w:hAnsi="宋体" w:eastAsia="宋体" w:cs="宋体"/>
          <w:color w:val="auto"/>
          <w:sz w:val="32"/>
          <w:szCs w:val="32"/>
        </w:rPr>
        <w:t>项目名称：</w:t>
      </w:r>
    </w:p>
    <w:p w14:paraId="59674150">
      <w:pPr>
        <w:tabs>
          <w:tab w:val="center" w:pos="5039"/>
        </w:tabs>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投标单位：（盖章）</w:t>
      </w:r>
    </w:p>
    <w:p w14:paraId="776C5C7C">
      <w:pPr>
        <w:ind w:firstLine="1280" w:firstLineChars="400"/>
        <w:rPr>
          <w:rFonts w:ascii="宋体" w:hAnsi="宋体" w:cs="黑体"/>
          <w:b/>
          <w:bCs/>
          <w:color w:val="auto"/>
          <w:sz w:val="44"/>
          <w:szCs w:val="44"/>
          <w:lang w:val="zh-CN"/>
        </w:rPr>
      </w:pPr>
      <w:r>
        <w:rPr>
          <w:rFonts w:hint="eastAsia" w:ascii="宋体" w:hAnsi="宋体" w:eastAsia="宋体" w:cs="宋体"/>
          <w:color w:val="auto"/>
          <w:sz w:val="32"/>
          <w:szCs w:val="32"/>
        </w:rPr>
        <w:t>递交时间：   年   月   日</w:t>
      </w:r>
      <w:r>
        <w:rPr>
          <w:rFonts w:ascii="宋体" w:hAnsi="宋体"/>
          <w:b/>
          <w:snapToGrid w:val="0"/>
          <w:color w:val="auto"/>
          <w:kern w:val="0"/>
          <w:sz w:val="36"/>
          <w:szCs w:val="36"/>
        </w:rPr>
        <w:br w:type="page"/>
      </w:r>
    </w:p>
    <w:p w14:paraId="16718408">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二、开标一览表</w:t>
      </w:r>
    </w:p>
    <w:p w14:paraId="54CCA973">
      <w:pPr>
        <w:spacing w:before="50" w:after="156" w:afterLines="50" w:line="360" w:lineRule="auto"/>
        <w:contextualSpacing/>
        <w:jc w:val="left"/>
        <w:rPr>
          <w:rFonts w:ascii="宋体" w:hAnsi="宋体"/>
          <w:color w:val="auto"/>
          <w:sz w:val="24"/>
          <w:szCs w:val="24"/>
        </w:rPr>
      </w:pPr>
    </w:p>
    <w:p w14:paraId="27E8BCEA">
      <w:pPr>
        <w:spacing w:before="50" w:after="156"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14:paraId="631F529D">
      <w:pPr>
        <w:spacing w:line="360" w:lineRule="auto"/>
        <w:contextualSpacing/>
        <w:rPr>
          <w:rFonts w:ascii="宋体" w:hAnsi="宋体"/>
          <w:color w:val="auto"/>
          <w:sz w:val="24"/>
          <w:szCs w:val="24"/>
        </w:rPr>
      </w:pPr>
      <w:r>
        <w:rPr>
          <w:rFonts w:hint="eastAsia" w:ascii="宋体" w:hAnsi="宋体"/>
          <w:color w:val="auto"/>
          <w:sz w:val="24"/>
          <w:szCs w:val="24"/>
        </w:rPr>
        <w:t xml:space="preserve">项目名称：                                            </w:t>
      </w:r>
      <w:r>
        <w:rPr>
          <w:rFonts w:hint="eastAsia" w:ascii="宋体" w:hAnsi="宋体" w:cs="Arial"/>
          <w:color w:val="auto"/>
          <w:sz w:val="24"/>
          <w:szCs w:val="24"/>
        </w:rPr>
        <w:t>单位：元（人民币）</w:t>
      </w:r>
    </w:p>
    <w:tbl>
      <w:tblPr>
        <w:tblStyle w:val="40"/>
        <w:tblW w:w="9368" w:type="dxa"/>
        <w:jc w:val="center"/>
        <w:tblLayout w:type="fixed"/>
        <w:tblCellMar>
          <w:top w:w="0" w:type="dxa"/>
          <w:left w:w="108" w:type="dxa"/>
          <w:bottom w:w="0" w:type="dxa"/>
          <w:right w:w="108" w:type="dxa"/>
        </w:tblCellMar>
      </w:tblPr>
      <w:tblGrid>
        <w:gridCol w:w="959"/>
        <w:gridCol w:w="1843"/>
        <w:gridCol w:w="4358"/>
        <w:gridCol w:w="1170"/>
        <w:gridCol w:w="1038"/>
      </w:tblGrid>
      <w:tr w14:paraId="1E591EAE">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14:paraId="4F9CCBB3">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14:paraId="6F6262B3">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项目名称</w:t>
            </w:r>
          </w:p>
        </w:tc>
        <w:tc>
          <w:tcPr>
            <w:tcW w:w="4358" w:type="dxa"/>
            <w:tcBorders>
              <w:top w:val="single" w:color="auto" w:sz="6" w:space="0"/>
              <w:left w:val="single" w:color="auto" w:sz="6" w:space="0"/>
              <w:bottom w:val="single" w:color="auto" w:sz="6" w:space="0"/>
              <w:right w:val="single" w:color="auto" w:sz="6" w:space="0"/>
            </w:tcBorders>
            <w:shd w:val="clear" w:color="auto" w:fill="F1F1F1"/>
            <w:vAlign w:val="center"/>
          </w:tcPr>
          <w:p w14:paraId="291B1F01">
            <w:pPr>
              <w:autoSpaceDE w:val="0"/>
              <w:autoSpaceDN w:val="0"/>
              <w:adjustRightInd w:val="0"/>
              <w:spacing w:line="480" w:lineRule="exact"/>
              <w:jc w:val="center"/>
              <w:rPr>
                <w:rFonts w:hint="eastAsia" w:ascii="宋体" w:hAnsi="宋体" w:eastAsia="宋体" w:cs="宋体"/>
                <w:b/>
                <w:color w:val="auto"/>
                <w:sz w:val="24"/>
                <w:lang w:val="zh-CN" w:eastAsia="zh-CN"/>
              </w:rPr>
            </w:pPr>
            <w:r>
              <w:rPr>
                <w:rFonts w:hint="eastAsia" w:ascii="宋体" w:hAnsi="宋体" w:cs="宋体"/>
                <w:b/>
                <w:color w:val="auto"/>
                <w:sz w:val="24"/>
                <w:lang w:val="zh-CN"/>
              </w:rPr>
              <w:t>投标</w:t>
            </w:r>
            <w:r>
              <w:rPr>
                <w:rFonts w:hint="eastAsia" w:ascii="宋体" w:hAnsi="宋体" w:cs="宋体"/>
                <w:b/>
                <w:color w:val="auto"/>
                <w:sz w:val="24"/>
                <w:lang w:val="en-US" w:eastAsia="zh-CN"/>
              </w:rPr>
              <w:t>报价</w:t>
            </w:r>
          </w:p>
        </w:tc>
        <w:tc>
          <w:tcPr>
            <w:tcW w:w="1170" w:type="dxa"/>
            <w:tcBorders>
              <w:top w:val="single" w:color="auto" w:sz="6" w:space="0"/>
              <w:left w:val="single" w:color="auto" w:sz="6" w:space="0"/>
              <w:bottom w:val="single" w:color="auto" w:sz="6" w:space="0"/>
              <w:right w:val="single" w:color="auto" w:sz="6" w:space="0"/>
            </w:tcBorders>
            <w:shd w:val="clear" w:color="auto" w:fill="F1F1F1"/>
            <w:vAlign w:val="center"/>
          </w:tcPr>
          <w:p w14:paraId="488F34EB">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eastAsia="zh-CN"/>
              </w:rPr>
              <w:t>特许经营期限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14:paraId="0E0E2D2B">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备注</w:t>
            </w:r>
          </w:p>
        </w:tc>
      </w:tr>
      <w:tr w14:paraId="5D27226E">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14:paraId="09DEEFBD">
            <w:pPr>
              <w:autoSpaceDE w:val="0"/>
              <w:autoSpaceDN w:val="0"/>
              <w:adjustRightInd w:val="0"/>
              <w:spacing w:line="480" w:lineRule="exact"/>
              <w:ind w:firstLine="240"/>
              <w:rPr>
                <w:rFonts w:ascii="宋体" w:hAnsi="宋体"/>
                <w:color w:val="auto"/>
                <w:sz w:val="24"/>
              </w:rPr>
            </w:pPr>
          </w:p>
        </w:tc>
        <w:tc>
          <w:tcPr>
            <w:tcW w:w="1843" w:type="dxa"/>
            <w:tcBorders>
              <w:top w:val="single" w:color="auto" w:sz="6" w:space="0"/>
              <w:left w:val="single" w:color="auto" w:sz="6" w:space="0"/>
              <w:bottom w:val="single" w:color="auto" w:sz="6" w:space="0"/>
              <w:right w:val="single" w:color="auto" w:sz="6" w:space="0"/>
            </w:tcBorders>
            <w:vAlign w:val="center"/>
          </w:tcPr>
          <w:p w14:paraId="53D7C667">
            <w:pPr>
              <w:autoSpaceDE w:val="0"/>
              <w:autoSpaceDN w:val="0"/>
              <w:adjustRightInd w:val="0"/>
              <w:spacing w:line="480" w:lineRule="exact"/>
              <w:ind w:firstLine="240"/>
              <w:rPr>
                <w:rFonts w:ascii="宋体" w:hAnsi="宋体"/>
                <w:color w:val="auto"/>
                <w:sz w:val="24"/>
              </w:rPr>
            </w:pPr>
          </w:p>
        </w:tc>
        <w:tc>
          <w:tcPr>
            <w:tcW w:w="4358" w:type="dxa"/>
            <w:tcBorders>
              <w:top w:val="single" w:color="auto" w:sz="6" w:space="0"/>
              <w:left w:val="single" w:color="auto" w:sz="6" w:space="0"/>
              <w:bottom w:val="single" w:color="auto" w:sz="6" w:space="0"/>
              <w:right w:val="single" w:color="auto" w:sz="6" w:space="0"/>
            </w:tcBorders>
            <w:vAlign w:val="center"/>
          </w:tcPr>
          <w:p w14:paraId="1ACF202B">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b/>
                <w:bCs/>
                <w:color w:val="auto"/>
                <w:sz w:val="24"/>
                <w:szCs w:val="24"/>
                <w:lang w:val="en-US" w:eastAsia="zh-CN"/>
              </w:rPr>
            </w:pPr>
            <w:r>
              <w:rPr>
                <w:rFonts w:hint="eastAsia" w:asciiTheme="minorEastAsia" w:hAnsiTheme="minorEastAsia" w:eastAsiaTheme="minorEastAsia"/>
                <w:b/>
                <w:bCs/>
                <w:color w:val="auto"/>
                <w:sz w:val="24"/>
                <w:szCs w:val="24"/>
                <w:lang w:val="en-US" w:eastAsia="zh-CN"/>
              </w:rPr>
              <w:t>大写：</w:t>
            </w:r>
          </w:p>
          <w:p w14:paraId="1021779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管线使用费第一阶梯单价（日均供水量小于等于2万m³）</w:t>
            </w:r>
            <w:r>
              <w:rPr>
                <w:rFonts w:hint="eastAsia" w:asciiTheme="minorEastAsia" w:hAnsiTheme="minorEastAsia" w:eastAsiaTheme="minorEastAsia"/>
                <w:color w:val="auto"/>
                <w:sz w:val="24"/>
                <w:szCs w:val="24"/>
                <w:u w:val="single"/>
                <w:lang w:val="en-US" w:eastAsia="zh-CN"/>
              </w:rPr>
              <w:t xml:space="preserve">    </w:t>
            </w:r>
            <w:r>
              <w:rPr>
                <w:rFonts w:hint="eastAsia" w:asciiTheme="minorEastAsia" w:hAnsiTheme="minorEastAsia" w:eastAsiaTheme="minorEastAsia"/>
                <w:color w:val="auto"/>
                <w:sz w:val="24"/>
                <w:szCs w:val="24"/>
                <w:lang w:val="en-US" w:eastAsia="zh-CN"/>
              </w:rPr>
              <w:t>元/m³；</w:t>
            </w:r>
          </w:p>
          <w:p w14:paraId="395113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管线使用费第二阶梯单价（日均供水量超过2万m³部分）</w:t>
            </w:r>
            <w:r>
              <w:rPr>
                <w:rFonts w:hint="eastAsia" w:asciiTheme="minorEastAsia" w:hAnsiTheme="minorEastAsia" w:eastAsiaTheme="minorEastAsia"/>
                <w:color w:val="auto"/>
                <w:sz w:val="24"/>
                <w:szCs w:val="24"/>
                <w:u w:val="single"/>
                <w:lang w:val="en-US" w:eastAsia="zh-CN"/>
              </w:rPr>
              <w:t xml:space="preserve">    </w:t>
            </w:r>
            <w:r>
              <w:rPr>
                <w:rFonts w:hint="eastAsia" w:asciiTheme="minorEastAsia" w:hAnsiTheme="minorEastAsia" w:eastAsiaTheme="minorEastAsia"/>
                <w:color w:val="auto"/>
                <w:sz w:val="24"/>
                <w:szCs w:val="24"/>
                <w:lang w:val="en-US" w:eastAsia="zh-CN"/>
              </w:rPr>
              <w:t>元/m³。</w:t>
            </w:r>
          </w:p>
          <w:p w14:paraId="403A951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Theme="minorEastAsia" w:hAnsiTheme="minorEastAsia" w:eastAsiaTheme="minorEastAsia"/>
                <w:b/>
                <w:bCs/>
                <w:color w:val="auto"/>
                <w:sz w:val="24"/>
                <w:szCs w:val="24"/>
                <w:lang w:val="en-US" w:eastAsia="zh-CN"/>
              </w:rPr>
            </w:pPr>
            <w:r>
              <w:rPr>
                <w:rFonts w:hint="eastAsia" w:asciiTheme="minorEastAsia" w:hAnsiTheme="minorEastAsia" w:eastAsiaTheme="minorEastAsia"/>
                <w:b/>
                <w:bCs/>
                <w:color w:val="auto"/>
                <w:sz w:val="24"/>
                <w:szCs w:val="24"/>
                <w:lang w:val="en-US" w:eastAsia="zh-CN"/>
              </w:rPr>
              <w:t>小写：</w:t>
            </w:r>
          </w:p>
          <w:p w14:paraId="6B97C26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管线使用费第一阶梯单价（日均供水量小于等于2万m³）</w:t>
            </w:r>
            <w:r>
              <w:rPr>
                <w:rFonts w:hint="eastAsia" w:asciiTheme="minorEastAsia" w:hAnsiTheme="minorEastAsia" w:eastAsiaTheme="minorEastAsia"/>
                <w:color w:val="auto"/>
                <w:sz w:val="24"/>
                <w:szCs w:val="24"/>
                <w:u w:val="single"/>
                <w:lang w:val="en-US" w:eastAsia="zh-CN"/>
              </w:rPr>
              <w:t xml:space="preserve">    </w:t>
            </w:r>
            <w:r>
              <w:rPr>
                <w:rFonts w:hint="eastAsia" w:asciiTheme="minorEastAsia" w:hAnsiTheme="minorEastAsia" w:eastAsiaTheme="minorEastAsia"/>
                <w:color w:val="auto"/>
                <w:sz w:val="24"/>
                <w:szCs w:val="24"/>
                <w:lang w:val="en-US" w:eastAsia="zh-CN"/>
              </w:rPr>
              <w:t>元/m³；</w:t>
            </w:r>
          </w:p>
          <w:p w14:paraId="57DD07D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color w:val="auto"/>
                <w:lang w:val="zh-CN"/>
              </w:rPr>
            </w:pPr>
            <w:r>
              <w:rPr>
                <w:rFonts w:hint="eastAsia" w:asciiTheme="minorEastAsia" w:hAnsiTheme="minorEastAsia" w:eastAsiaTheme="minorEastAsia"/>
                <w:color w:val="auto"/>
                <w:sz w:val="24"/>
                <w:szCs w:val="24"/>
                <w:lang w:val="en-US" w:eastAsia="zh-CN"/>
              </w:rPr>
              <w:t>管线使用费第二阶梯单价（日均供水量超过2万m³部分）</w:t>
            </w:r>
            <w:r>
              <w:rPr>
                <w:rFonts w:hint="eastAsia" w:asciiTheme="minorEastAsia" w:hAnsiTheme="minorEastAsia" w:eastAsiaTheme="minorEastAsia"/>
                <w:color w:val="auto"/>
                <w:sz w:val="24"/>
                <w:szCs w:val="24"/>
                <w:u w:val="single"/>
                <w:lang w:val="en-US" w:eastAsia="zh-CN"/>
              </w:rPr>
              <w:t xml:space="preserve">    </w:t>
            </w:r>
            <w:r>
              <w:rPr>
                <w:rFonts w:hint="eastAsia" w:asciiTheme="minorEastAsia" w:hAnsiTheme="minorEastAsia" w:eastAsiaTheme="minorEastAsia"/>
                <w:color w:val="auto"/>
                <w:sz w:val="24"/>
                <w:szCs w:val="24"/>
                <w:lang w:val="en-US" w:eastAsia="zh-CN"/>
              </w:rPr>
              <w:t>元/m³。</w:t>
            </w:r>
          </w:p>
        </w:tc>
        <w:tc>
          <w:tcPr>
            <w:tcW w:w="1170" w:type="dxa"/>
            <w:tcBorders>
              <w:top w:val="single" w:color="auto" w:sz="6" w:space="0"/>
              <w:left w:val="single" w:color="auto" w:sz="6" w:space="0"/>
              <w:bottom w:val="single" w:color="auto" w:sz="6" w:space="0"/>
              <w:right w:val="single" w:color="auto" w:sz="6" w:space="0"/>
            </w:tcBorders>
            <w:vAlign w:val="center"/>
          </w:tcPr>
          <w:p w14:paraId="54CA7F8F">
            <w:pPr>
              <w:autoSpaceDE w:val="0"/>
              <w:autoSpaceDN w:val="0"/>
              <w:adjustRightInd w:val="0"/>
              <w:spacing w:line="480" w:lineRule="exact"/>
              <w:ind w:firstLine="240"/>
              <w:rPr>
                <w:rFonts w:ascii="宋体" w:hAnsi="宋体" w:cs="宋体"/>
                <w:color w:val="auto"/>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14:paraId="270B167D">
            <w:pPr>
              <w:autoSpaceDE w:val="0"/>
              <w:autoSpaceDN w:val="0"/>
              <w:adjustRightInd w:val="0"/>
              <w:spacing w:line="480" w:lineRule="exact"/>
              <w:ind w:firstLine="240"/>
              <w:rPr>
                <w:rFonts w:ascii="宋体" w:hAnsi="宋体" w:cs="宋体"/>
                <w:color w:val="auto"/>
                <w:sz w:val="24"/>
                <w:lang w:val="zh-CN"/>
              </w:rPr>
            </w:pPr>
          </w:p>
        </w:tc>
      </w:tr>
      <w:tr w14:paraId="432C70F5">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14:paraId="5DCFF55B">
            <w:pPr>
              <w:autoSpaceDE w:val="0"/>
              <w:autoSpaceDN w:val="0"/>
              <w:adjustRightInd w:val="0"/>
              <w:spacing w:line="480" w:lineRule="exact"/>
              <w:ind w:firstLine="240" w:firstLineChars="0"/>
              <w:rPr>
                <w:rFonts w:ascii="宋体" w:hAnsi="宋体"/>
                <w:color w:val="auto"/>
                <w:sz w:val="24"/>
              </w:rPr>
            </w:pPr>
            <w:r>
              <w:rPr>
                <w:rFonts w:ascii="等线" w:hAnsi="等线" w:cs="Arial"/>
                <w:color w:val="auto"/>
                <w:sz w:val="32"/>
                <w:szCs w:val="32"/>
              </w:rPr>
              <w:t>…</w:t>
            </w:r>
          </w:p>
        </w:tc>
        <w:tc>
          <w:tcPr>
            <w:tcW w:w="1843" w:type="dxa"/>
            <w:tcBorders>
              <w:top w:val="single" w:color="auto" w:sz="6" w:space="0"/>
              <w:left w:val="single" w:color="auto" w:sz="6" w:space="0"/>
              <w:bottom w:val="single" w:color="auto" w:sz="6" w:space="0"/>
              <w:right w:val="single" w:color="auto" w:sz="6" w:space="0"/>
            </w:tcBorders>
            <w:vAlign w:val="center"/>
          </w:tcPr>
          <w:p w14:paraId="180A706A">
            <w:pPr>
              <w:autoSpaceDE w:val="0"/>
              <w:autoSpaceDN w:val="0"/>
              <w:adjustRightInd w:val="0"/>
              <w:spacing w:line="480" w:lineRule="exact"/>
              <w:ind w:firstLine="240" w:firstLineChars="0"/>
              <w:rPr>
                <w:rFonts w:ascii="宋体" w:hAnsi="宋体"/>
                <w:color w:val="auto"/>
                <w:sz w:val="24"/>
              </w:rPr>
            </w:pPr>
          </w:p>
        </w:tc>
        <w:tc>
          <w:tcPr>
            <w:tcW w:w="4358" w:type="dxa"/>
            <w:tcBorders>
              <w:top w:val="single" w:color="auto" w:sz="6" w:space="0"/>
              <w:left w:val="single" w:color="auto" w:sz="6" w:space="0"/>
              <w:bottom w:val="single" w:color="auto" w:sz="6" w:space="0"/>
              <w:right w:val="single" w:color="auto" w:sz="6" w:space="0"/>
            </w:tcBorders>
            <w:vAlign w:val="center"/>
          </w:tcPr>
          <w:p w14:paraId="26553E63">
            <w:pPr>
              <w:autoSpaceDE w:val="0"/>
              <w:autoSpaceDN w:val="0"/>
              <w:adjustRightInd w:val="0"/>
              <w:spacing w:line="480" w:lineRule="exact"/>
              <w:rPr>
                <w:rFonts w:hint="eastAsia" w:ascii="宋体" w:hAnsi="宋体" w:cs="宋体"/>
                <w:color w:val="auto"/>
                <w:sz w:val="24"/>
                <w:lang w:val="zh-CN"/>
              </w:rPr>
            </w:pPr>
          </w:p>
        </w:tc>
        <w:tc>
          <w:tcPr>
            <w:tcW w:w="1170" w:type="dxa"/>
            <w:tcBorders>
              <w:top w:val="single" w:color="auto" w:sz="6" w:space="0"/>
              <w:left w:val="single" w:color="auto" w:sz="6" w:space="0"/>
              <w:bottom w:val="single" w:color="auto" w:sz="6" w:space="0"/>
              <w:right w:val="single" w:color="auto" w:sz="6" w:space="0"/>
            </w:tcBorders>
            <w:vAlign w:val="center"/>
          </w:tcPr>
          <w:p w14:paraId="33737344">
            <w:pPr>
              <w:autoSpaceDE w:val="0"/>
              <w:autoSpaceDN w:val="0"/>
              <w:adjustRightInd w:val="0"/>
              <w:spacing w:line="480" w:lineRule="exact"/>
              <w:ind w:firstLine="240" w:firstLineChars="0"/>
              <w:rPr>
                <w:rFonts w:ascii="宋体" w:hAnsi="宋体" w:cs="宋体"/>
                <w:color w:val="auto"/>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14:paraId="53174AFD">
            <w:pPr>
              <w:autoSpaceDE w:val="0"/>
              <w:autoSpaceDN w:val="0"/>
              <w:adjustRightInd w:val="0"/>
              <w:spacing w:line="480" w:lineRule="exact"/>
              <w:ind w:firstLine="240" w:firstLineChars="0"/>
              <w:rPr>
                <w:rFonts w:ascii="宋体" w:hAnsi="宋体" w:cs="宋体"/>
                <w:color w:val="auto"/>
                <w:sz w:val="24"/>
                <w:lang w:val="zh-CN"/>
              </w:rPr>
            </w:pPr>
          </w:p>
        </w:tc>
      </w:tr>
    </w:tbl>
    <w:p w14:paraId="41292073">
      <w:pPr>
        <w:autoSpaceDE w:val="0"/>
        <w:autoSpaceDN w:val="0"/>
        <w:adjustRightInd w:val="0"/>
        <w:spacing w:line="480" w:lineRule="auto"/>
        <w:jc w:val="center"/>
        <w:rPr>
          <w:rFonts w:ascii="宋体" w:hAnsi="宋体" w:cs="宋体"/>
          <w:color w:val="auto"/>
          <w:sz w:val="24"/>
          <w:szCs w:val="24"/>
          <w:lang w:val="zh-CN"/>
        </w:rPr>
      </w:pPr>
    </w:p>
    <w:p w14:paraId="1C4DD5B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color w:val="auto"/>
          <w:sz w:val="24"/>
          <w:szCs w:val="24"/>
          <w:lang w:val="zh-CN"/>
        </w:rPr>
      </w:pPr>
      <w:r>
        <w:rPr>
          <w:rFonts w:hint="eastAsia" w:ascii="宋体" w:hAnsi="宋体" w:cs="宋体"/>
          <w:color w:val="auto"/>
          <w:sz w:val="24"/>
          <w:szCs w:val="24"/>
          <w:lang w:val="zh-CN"/>
        </w:rPr>
        <w:t>投标人名称：</w:t>
      </w:r>
      <w:r>
        <w:rPr>
          <w:rFonts w:hint="eastAsia" w:ascii="宋体" w:hAnsi="宋体" w:cs="宋体"/>
          <w:color w:val="auto"/>
          <w:sz w:val="24"/>
          <w:szCs w:val="24"/>
          <w:u w:val="single"/>
          <w:lang w:val="zh-CN"/>
        </w:rPr>
        <w:t xml:space="preserve">     （全称）   </w:t>
      </w:r>
      <w:r>
        <w:rPr>
          <w:rFonts w:hint="eastAsia" w:ascii="宋体" w:hAnsi="宋体" w:cs="宋体"/>
          <w:color w:val="auto"/>
          <w:sz w:val="24"/>
          <w:szCs w:val="24"/>
          <w:lang w:val="zh-CN"/>
        </w:rPr>
        <w:t>（公章）：</w:t>
      </w:r>
    </w:p>
    <w:p w14:paraId="16DD646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cs="宋体"/>
          <w:color w:val="auto"/>
          <w:sz w:val="24"/>
          <w:lang w:val="zh-CN"/>
        </w:rPr>
      </w:pPr>
      <w:r>
        <w:rPr>
          <w:rFonts w:hint="eastAsia" w:ascii="宋体" w:cs="宋体"/>
          <w:color w:val="auto"/>
          <w:sz w:val="24"/>
          <w:lang w:val="zh-CN"/>
        </w:rPr>
        <w:t>投标人法定代表人（单位负责人）或授权代表（签字或盖章）：</w:t>
      </w:r>
    </w:p>
    <w:p w14:paraId="528CF74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cs="宋体"/>
          <w:color w:val="auto"/>
          <w:sz w:val="24"/>
          <w:lang w:val="zh-CN"/>
        </w:rPr>
      </w:pPr>
      <w:r>
        <w:rPr>
          <w:rFonts w:hint="eastAsia" w:ascii="宋体" w:cs="宋体"/>
          <w:color w:val="auto"/>
          <w:sz w:val="24"/>
          <w:lang w:val="zh-CN"/>
        </w:rPr>
        <w:t>日期：   年   月   日</w:t>
      </w:r>
    </w:p>
    <w:p w14:paraId="125B28F2">
      <w:pPr>
        <w:autoSpaceDE w:val="0"/>
        <w:autoSpaceDN w:val="0"/>
        <w:adjustRightInd w:val="0"/>
        <w:spacing w:line="480" w:lineRule="auto"/>
        <w:rPr>
          <w:rFonts w:hint="eastAsia" w:ascii="宋体" w:hAnsi="宋体" w:cs="宋体"/>
          <w:color w:val="auto"/>
          <w:szCs w:val="21"/>
          <w:lang w:val="zh-CN"/>
        </w:rPr>
      </w:pPr>
      <w:r>
        <w:rPr>
          <w:rFonts w:hint="eastAsia" w:ascii="宋体" w:hAnsi="宋体" w:cs="宋体"/>
          <w:color w:val="auto"/>
          <w:szCs w:val="21"/>
          <w:lang w:val="zh-CN"/>
        </w:rPr>
        <w:t>注：</w:t>
      </w:r>
    </w:p>
    <w:p w14:paraId="3C8A66F6">
      <w:pPr>
        <w:numPr>
          <w:ilvl w:val="0"/>
          <w:numId w:val="4"/>
        </w:numPr>
        <w:autoSpaceDE w:val="0"/>
        <w:autoSpaceDN w:val="0"/>
        <w:adjustRightInd w:val="0"/>
        <w:spacing w:line="480" w:lineRule="auto"/>
        <w:ind w:left="0" w:leftChars="0" w:firstLine="420" w:firstLineChars="200"/>
        <w:rPr>
          <w:rFonts w:hint="eastAsia" w:ascii="宋体" w:hAnsi="宋体" w:cs="宋体"/>
          <w:color w:val="auto"/>
          <w:szCs w:val="21"/>
          <w:lang w:val="zh-CN"/>
        </w:rPr>
      </w:pPr>
      <w:r>
        <w:rPr>
          <w:rFonts w:hint="eastAsia" w:ascii="宋体" w:hAnsi="宋体" w:cs="宋体"/>
          <w:color w:val="auto"/>
          <w:szCs w:val="21"/>
          <w:lang w:val="zh-CN"/>
        </w:rPr>
        <w:t>如招标公告明确</w:t>
      </w:r>
      <w:r>
        <w:rPr>
          <w:rFonts w:hint="eastAsia" w:ascii="宋体" w:hAnsi="宋体" w:cs="宋体"/>
          <w:color w:val="auto"/>
          <w:szCs w:val="21"/>
          <w:lang w:val="zh-CN" w:eastAsia="zh-CN"/>
        </w:rPr>
        <w:t>特许经营期</w:t>
      </w:r>
      <w:r>
        <w:rPr>
          <w:rFonts w:hint="eastAsia" w:ascii="宋体" w:hAnsi="宋体" w:cs="宋体"/>
          <w:color w:val="auto"/>
          <w:szCs w:val="21"/>
          <w:lang w:val="zh-CN"/>
        </w:rPr>
        <w:t>限以年为单位，本表应填写完成该项目的年限。</w:t>
      </w:r>
    </w:p>
    <w:p w14:paraId="1429FD82">
      <w:pPr>
        <w:numPr>
          <w:ilvl w:val="0"/>
          <w:numId w:val="4"/>
        </w:numPr>
        <w:autoSpaceDE w:val="0"/>
        <w:autoSpaceDN w:val="0"/>
        <w:adjustRightInd w:val="0"/>
        <w:spacing w:line="480" w:lineRule="auto"/>
        <w:ind w:left="0" w:leftChars="0" w:firstLine="883" w:firstLineChars="200"/>
        <w:rPr>
          <w:rFonts w:ascii="宋体" w:hAnsi="宋体" w:cs="黑体"/>
          <w:b/>
          <w:bCs/>
          <w:color w:val="auto"/>
          <w:sz w:val="44"/>
          <w:szCs w:val="44"/>
          <w:lang w:val="zh-CN"/>
        </w:rPr>
      </w:pPr>
      <w:r>
        <w:rPr>
          <w:rFonts w:ascii="宋体" w:hAnsi="宋体" w:cs="黑体"/>
          <w:b/>
          <w:bCs/>
          <w:color w:val="auto"/>
          <w:sz w:val="44"/>
          <w:szCs w:val="44"/>
          <w:lang w:val="zh-CN"/>
        </w:rPr>
        <w:br w:type="page"/>
      </w:r>
    </w:p>
    <w:p w14:paraId="3534D172">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三、资格审查证明材料</w:t>
      </w:r>
    </w:p>
    <w:p w14:paraId="357D7D70">
      <w:pPr>
        <w:pStyle w:val="24"/>
        <w:spacing w:line="360" w:lineRule="auto"/>
        <w:jc w:val="center"/>
        <w:rPr>
          <w:rFonts w:ascii="宋体" w:hAnsi="宋体"/>
          <w:b/>
          <w:snapToGrid w:val="0"/>
          <w:color w:val="auto"/>
          <w:sz w:val="36"/>
          <w:szCs w:val="36"/>
        </w:rPr>
      </w:pPr>
      <w:r>
        <w:rPr>
          <w:rFonts w:hint="eastAsia" w:ascii="宋体" w:hAnsi="宋体"/>
          <w:b/>
          <w:snapToGrid w:val="0"/>
          <w:color w:val="auto"/>
          <w:sz w:val="36"/>
          <w:szCs w:val="36"/>
        </w:rPr>
        <w:t>3.1 投 标 函</w:t>
      </w:r>
    </w:p>
    <w:p w14:paraId="67A75903">
      <w:pPr>
        <w:adjustRightInd w:val="0"/>
        <w:spacing w:line="360" w:lineRule="auto"/>
        <w:contextualSpacing/>
        <w:rPr>
          <w:rFonts w:ascii="宋体" w:hAnsi="宋体"/>
          <w:b/>
          <w:snapToGrid w:val="0"/>
          <w:color w:val="auto"/>
          <w:kern w:val="0"/>
          <w:sz w:val="24"/>
          <w:szCs w:val="24"/>
        </w:rPr>
      </w:pPr>
      <w:r>
        <w:rPr>
          <w:rFonts w:hint="eastAsia" w:ascii="宋体" w:hAnsi="宋体"/>
          <w:snapToGrid w:val="0"/>
          <w:color w:val="auto"/>
          <w:kern w:val="0"/>
          <w:sz w:val="24"/>
          <w:szCs w:val="24"/>
        </w:rPr>
        <w:t>致：</w:t>
      </w:r>
      <w:r>
        <w:rPr>
          <w:rFonts w:hint="eastAsia" w:ascii="宋体" w:hAnsi="宋体"/>
          <w:b/>
          <w:snapToGrid w:val="0"/>
          <w:color w:val="auto"/>
          <w:kern w:val="0"/>
          <w:sz w:val="24"/>
          <w:szCs w:val="24"/>
          <w:u w:val="single"/>
        </w:rPr>
        <w:t>（采购人）</w:t>
      </w:r>
    </w:p>
    <w:p w14:paraId="29D6C1E1">
      <w:pPr>
        <w:adjustRightInd w:val="0"/>
        <w:spacing w:line="360" w:lineRule="auto"/>
        <w:ind w:firstLine="480" w:firstLineChars="200"/>
        <w:contextualSpacing/>
        <w:outlineLvl w:val="0"/>
        <w:rPr>
          <w:rFonts w:ascii="宋体" w:hAnsi="宋体"/>
          <w:snapToGrid w:val="0"/>
          <w:color w:val="auto"/>
          <w:kern w:val="0"/>
          <w:sz w:val="24"/>
          <w:szCs w:val="24"/>
        </w:rPr>
      </w:pPr>
      <w:r>
        <w:rPr>
          <w:rFonts w:hint="eastAsia" w:ascii="宋体" w:hAnsi="宋体"/>
          <w:snapToGrid w:val="0"/>
          <w:color w:val="auto"/>
          <w:kern w:val="0"/>
          <w:sz w:val="24"/>
          <w:szCs w:val="24"/>
        </w:rPr>
        <w:t>根据贵方</w:t>
      </w:r>
      <w:r>
        <w:rPr>
          <w:rFonts w:hint="eastAsia" w:ascii="宋体" w:hAnsi="宋体"/>
          <w:snapToGrid w:val="0"/>
          <w:color w:val="auto"/>
          <w:kern w:val="0"/>
          <w:sz w:val="24"/>
          <w:szCs w:val="24"/>
          <w:u w:val="single"/>
        </w:rPr>
        <w:t xml:space="preserve">     （项目名称、项目编号）</w:t>
      </w:r>
      <w:r>
        <w:rPr>
          <w:rFonts w:hint="eastAsia" w:ascii="宋体" w:hAnsi="宋体"/>
          <w:snapToGrid w:val="0"/>
          <w:color w:val="auto"/>
          <w:kern w:val="0"/>
          <w:sz w:val="24"/>
          <w:szCs w:val="24"/>
        </w:rPr>
        <w:t>采购的招标公告及投标邀请，</w:t>
      </w:r>
      <w:r>
        <w:rPr>
          <w:rFonts w:hint="eastAsia" w:ascii="宋体" w:hAnsi="宋体"/>
          <w:snapToGrid w:val="0"/>
          <w:color w:val="auto"/>
          <w:kern w:val="0"/>
          <w:sz w:val="24"/>
          <w:szCs w:val="24"/>
          <w:u w:val="single"/>
        </w:rPr>
        <w:t xml:space="preserve">    （姓名和职务）</w:t>
      </w:r>
      <w:r>
        <w:rPr>
          <w:rFonts w:hint="eastAsia" w:ascii="宋体" w:hAnsi="宋体"/>
          <w:snapToGrid w:val="0"/>
          <w:color w:val="auto"/>
          <w:kern w:val="0"/>
          <w:sz w:val="24"/>
          <w:szCs w:val="24"/>
        </w:rPr>
        <w:t>被正式授权并代表</w:t>
      </w:r>
      <w:r>
        <w:rPr>
          <w:rFonts w:hint="eastAsia" w:ascii="宋体" w:hAnsi="宋体"/>
          <w:snapToGrid w:val="0"/>
          <w:color w:val="auto"/>
          <w:kern w:val="0"/>
          <w:sz w:val="24"/>
          <w:szCs w:val="24"/>
          <w:lang w:eastAsia="zh-CN"/>
        </w:rPr>
        <w:t>投标人</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u w:val="single"/>
          <w:lang w:eastAsia="zh-CN"/>
        </w:rPr>
        <w:t>投标人</w:t>
      </w:r>
      <w:r>
        <w:rPr>
          <w:rFonts w:hint="eastAsia" w:ascii="宋体" w:hAnsi="宋体"/>
          <w:snapToGrid w:val="0"/>
          <w:color w:val="auto"/>
          <w:kern w:val="0"/>
          <w:sz w:val="24"/>
          <w:szCs w:val="24"/>
          <w:u w:val="single"/>
        </w:rPr>
        <w:t>名称、地址）</w:t>
      </w:r>
      <w:r>
        <w:rPr>
          <w:rFonts w:hint="eastAsia" w:ascii="宋体" w:hAnsi="宋体"/>
          <w:snapToGrid w:val="0"/>
          <w:color w:val="auto"/>
          <w:kern w:val="0"/>
          <w:sz w:val="24"/>
          <w:szCs w:val="24"/>
        </w:rPr>
        <w:t>提交。</w:t>
      </w:r>
    </w:p>
    <w:p w14:paraId="24DD0DC4">
      <w:pPr>
        <w:pStyle w:val="24"/>
        <w:adjustRightInd w:val="0"/>
        <w:spacing w:line="360" w:lineRule="auto"/>
        <w:ind w:firstLine="480" w:firstLineChars="200"/>
        <w:contextualSpacing/>
        <w:rPr>
          <w:rFonts w:ascii="宋体" w:hAnsi="宋体"/>
          <w:snapToGrid w:val="0"/>
          <w:color w:val="auto"/>
          <w:sz w:val="24"/>
          <w:szCs w:val="24"/>
        </w:rPr>
      </w:pPr>
      <w:r>
        <w:rPr>
          <w:rFonts w:hint="eastAsia" w:ascii="宋体" w:hAnsi="宋体"/>
          <w:snapToGrid w:val="0"/>
          <w:color w:val="auto"/>
          <w:sz w:val="24"/>
          <w:szCs w:val="24"/>
        </w:rPr>
        <w:t>我方确认收到贵方提供的</w:t>
      </w:r>
      <w:r>
        <w:rPr>
          <w:rFonts w:hint="eastAsia" w:ascii="宋体" w:hAnsi="宋体"/>
          <w:snapToGrid w:val="0"/>
          <w:color w:val="auto"/>
          <w:sz w:val="24"/>
          <w:szCs w:val="24"/>
          <w:u w:val="single"/>
        </w:rPr>
        <w:t xml:space="preserve">    （项目名称、项目编号）</w:t>
      </w:r>
      <w:r>
        <w:rPr>
          <w:rFonts w:hint="eastAsia" w:ascii="宋体" w:hAnsi="宋体"/>
          <w:snapToGrid w:val="0"/>
          <w:color w:val="auto"/>
          <w:sz w:val="24"/>
          <w:szCs w:val="24"/>
        </w:rPr>
        <w:t>招标文件的全部内容。</w:t>
      </w:r>
    </w:p>
    <w:p w14:paraId="01FD42CD">
      <w:pPr>
        <w:pStyle w:val="24"/>
        <w:adjustRightInd w:val="0"/>
        <w:spacing w:line="360" w:lineRule="auto"/>
        <w:ind w:firstLine="480" w:firstLineChars="200"/>
        <w:contextualSpacing/>
        <w:rPr>
          <w:rFonts w:ascii="宋体" w:hAnsi="宋体"/>
          <w:snapToGrid w:val="0"/>
          <w:color w:val="auto"/>
          <w:sz w:val="24"/>
          <w:szCs w:val="24"/>
        </w:rPr>
      </w:pPr>
      <w:r>
        <w:rPr>
          <w:rFonts w:hint="eastAsia" w:ascii="宋体" w:hAnsi="宋体"/>
          <w:snapToGrid w:val="0"/>
          <w:color w:val="auto"/>
          <w:sz w:val="24"/>
          <w:szCs w:val="24"/>
        </w:rPr>
        <w:t>我方在参与投标前已详细研究了招标文件的所有内容，包括澄清、修改文件（如果有）和所有已提供的参考资料以及有关附件，我方完全明白并认为此招标文件没有倾向性，也不存在排斥潜在投标</w:t>
      </w:r>
      <w:r>
        <w:rPr>
          <w:rFonts w:hint="eastAsia" w:ascii="宋体" w:hAnsi="宋体"/>
          <w:snapToGrid w:val="0"/>
          <w:color w:val="auto"/>
          <w:sz w:val="24"/>
          <w:szCs w:val="24"/>
          <w:lang w:val="en-US" w:eastAsia="zh-CN"/>
        </w:rPr>
        <w:t>供应商</w:t>
      </w:r>
      <w:r>
        <w:rPr>
          <w:rFonts w:hint="eastAsia" w:ascii="宋体" w:hAnsi="宋体"/>
          <w:snapToGrid w:val="0"/>
          <w:color w:val="auto"/>
          <w:sz w:val="24"/>
          <w:szCs w:val="24"/>
        </w:rPr>
        <w:t>的内容，我方同意招标文件的相关条款和</w:t>
      </w:r>
      <w:r>
        <w:rPr>
          <w:rFonts w:hint="eastAsia" w:ascii="宋体" w:hAnsi="宋体"/>
          <w:color w:val="auto"/>
          <w:sz w:val="24"/>
          <w:szCs w:val="24"/>
        </w:rPr>
        <w:t>已完全理解并接受招标文件的各项规定和要求及资金支付规定，对招标文件的合理性、合法性不再有异议。</w:t>
      </w:r>
    </w:p>
    <w:p w14:paraId="00ED184E">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eastAsia="宋体" w:cs="Times New Roman"/>
          <w:snapToGrid w:val="0"/>
          <w:color w:val="auto"/>
          <w:kern w:val="0"/>
          <w:sz w:val="24"/>
          <w:szCs w:val="24"/>
          <w:u w:val="single"/>
        </w:rPr>
        <w:t>(</w:t>
      </w:r>
      <w:r>
        <w:rPr>
          <w:rFonts w:hint="eastAsia" w:ascii="宋体" w:hAnsi="宋体" w:eastAsia="宋体" w:cs="Times New Roman"/>
          <w:snapToGrid w:val="0"/>
          <w:color w:val="auto"/>
          <w:kern w:val="0"/>
          <w:sz w:val="24"/>
          <w:szCs w:val="24"/>
          <w:u w:val="single"/>
          <w:lang w:eastAsia="zh-CN"/>
        </w:rPr>
        <w:t>投标人</w:t>
      </w:r>
      <w:r>
        <w:rPr>
          <w:rFonts w:hint="eastAsia" w:ascii="宋体" w:hAnsi="宋体" w:eastAsia="宋体" w:cs="Times New Roman"/>
          <w:snapToGrid w:val="0"/>
          <w:color w:val="auto"/>
          <w:kern w:val="0"/>
          <w:sz w:val="24"/>
          <w:szCs w:val="24"/>
          <w:u w:val="single"/>
        </w:rPr>
        <w:t>名称)</w:t>
      </w:r>
      <w:r>
        <w:rPr>
          <w:rFonts w:hint="eastAsia" w:ascii="宋体" w:hAnsi="宋体"/>
          <w:i/>
          <w:snapToGrid w:val="0"/>
          <w:color w:val="auto"/>
          <w:kern w:val="0"/>
          <w:sz w:val="24"/>
          <w:szCs w:val="24"/>
          <w:u w:val="single"/>
        </w:rPr>
        <w:t xml:space="preserve">     </w:t>
      </w:r>
      <w:r>
        <w:rPr>
          <w:rFonts w:hint="eastAsia" w:ascii="宋体" w:hAnsi="宋体"/>
          <w:snapToGrid w:val="0"/>
          <w:color w:val="auto"/>
          <w:kern w:val="0"/>
          <w:sz w:val="24"/>
          <w:szCs w:val="24"/>
        </w:rPr>
        <w:t>作为</w:t>
      </w:r>
      <w:r>
        <w:rPr>
          <w:rFonts w:hint="eastAsia" w:ascii="宋体" w:hAnsi="宋体"/>
          <w:snapToGrid w:val="0"/>
          <w:color w:val="auto"/>
          <w:kern w:val="0"/>
          <w:sz w:val="24"/>
          <w:szCs w:val="24"/>
          <w:lang w:eastAsia="zh-CN"/>
        </w:rPr>
        <w:t>投标人</w:t>
      </w:r>
      <w:r>
        <w:rPr>
          <w:rFonts w:hint="eastAsia" w:ascii="宋体" w:hAnsi="宋体"/>
          <w:snapToGrid w:val="0"/>
          <w:color w:val="auto"/>
          <w:kern w:val="0"/>
          <w:sz w:val="24"/>
          <w:szCs w:val="24"/>
        </w:rPr>
        <w:t>正式授权</w:t>
      </w:r>
      <w:r>
        <w:rPr>
          <w:rFonts w:hint="eastAsia" w:ascii="宋体" w:hAnsi="宋体" w:eastAsia="宋体" w:cs="Times New Roman"/>
          <w:snapToGrid w:val="0"/>
          <w:color w:val="auto"/>
          <w:kern w:val="0"/>
          <w:sz w:val="24"/>
          <w:szCs w:val="24"/>
          <w:u w:val="single"/>
        </w:rPr>
        <w:t xml:space="preserve">(授权代表全名, 职务) </w:t>
      </w:r>
      <w:r>
        <w:rPr>
          <w:rFonts w:hint="eastAsia" w:ascii="宋体" w:hAnsi="宋体"/>
          <w:i/>
          <w:snapToGrid w:val="0"/>
          <w:color w:val="auto"/>
          <w:kern w:val="0"/>
          <w:sz w:val="24"/>
          <w:szCs w:val="24"/>
          <w:u w:val="single"/>
        </w:rPr>
        <w:t xml:space="preserve">      </w:t>
      </w:r>
      <w:r>
        <w:rPr>
          <w:rFonts w:hint="eastAsia" w:ascii="宋体" w:hAnsi="宋体"/>
          <w:snapToGrid w:val="0"/>
          <w:color w:val="auto"/>
          <w:kern w:val="0"/>
          <w:sz w:val="24"/>
          <w:szCs w:val="24"/>
        </w:rPr>
        <w:t>代表我方全权处理有关本投标的一切事宜。</w:t>
      </w:r>
    </w:p>
    <w:p w14:paraId="3702F0C2">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我方已完全明白招标文件的所有条款要求，并申明如下：</w:t>
      </w:r>
    </w:p>
    <w:p w14:paraId="7898C6C6">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一、按招标文件提供的全部货物与相关服务的投标总价详见《开标一览表》。</w:t>
      </w:r>
    </w:p>
    <w:p w14:paraId="6664D27C">
      <w:pPr>
        <w:pStyle w:val="37"/>
        <w:adjustRightInd w:val="0"/>
        <w:spacing w:before="0" w:beforeAutospacing="0" w:after="0" w:afterAutospacing="0" w:line="360" w:lineRule="auto"/>
        <w:ind w:firstLine="480" w:firstLineChars="200"/>
        <w:contextualSpacing/>
        <w:rPr>
          <w:rFonts w:hint="eastAsia" w:ascii="宋体" w:hAnsi="宋体" w:cs="Courier New"/>
          <w:color w:val="auto"/>
          <w:sz w:val="24"/>
          <w:szCs w:val="24"/>
        </w:rPr>
      </w:pPr>
      <w:r>
        <w:rPr>
          <w:rFonts w:hint="eastAsia" w:ascii="宋体" w:hAnsi="宋体" w:cs="Courier New"/>
          <w:color w:val="auto"/>
          <w:sz w:val="24"/>
          <w:szCs w:val="24"/>
        </w:rPr>
        <w:t xml:space="preserve">二、本投标文件的有效期为投标截止时间起 </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197370E7">
      <w:pPr>
        <w:pStyle w:val="37"/>
        <w:adjustRightInd w:val="0"/>
        <w:spacing w:before="0" w:beforeAutospacing="0" w:after="0" w:afterAutospacing="0" w:line="360" w:lineRule="auto"/>
        <w:ind w:firstLine="480" w:firstLineChars="200"/>
        <w:contextualSpacing/>
        <w:rPr>
          <w:rFonts w:hint="eastAsia" w:ascii="宋体" w:cs="Courier New"/>
          <w:color w:val="auto"/>
        </w:rPr>
      </w:pPr>
      <w:r>
        <w:rPr>
          <w:rFonts w:hint="eastAsia" w:ascii="宋体" w:cs="Courier New"/>
          <w:color w:val="auto"/>
        </w:rPr>
        <w:t>三、我方明白并同意，在规定的开标日之后，投标有效期之内撤销投标的，我方承担违背投标承诺的责任追究。</w:t>
      </w:r>
    </w:p>
    <w:p w14:paraId="2FBDF85A">
      <w:pPr>
        <w:pStyle w:val="37"/>
        <w:adjustRightInd w:val="0"/>
        <w:spacing w:before="0" w:beforeAutospacing="0" w:after="0" w:afterAutospacing="0" w:line="360" w:lineRule="auto"/>
        <w:ind w:firstLine="480" w:firstLineChars="200"/>
        <w:contextualSpacing/>
        <w:rPr>
          <w:rFonts w:ascii="宋体" w:cs="Courier New"/>
          <w:color w:val="auto"/>
        </w:rPr>
      </w:pPr>
      <w:r>
        <w:rPr>
          <w:rFonts w:hint="eastAsia" w:ascii="宋体" w:cs="Courier New"/>
          <w:color w:val="auto"/>
        </w:rPr>
        <w:t>四、我方同意按照贵方可能提出的要求而提供与投标有关的任何其它数据、信息或资料。</w:t>
      </w:r>
    </w:p>
    <w:p w14:paraId="00F16F26">
      <w:pPr>
        <w:pStyle w:val="37"/>
        <w:adjustRightInd w:val="0"/>
        <w:spacing w:before="0" w:beforeAutospacing="0" w:after="0" w:afterAutospacing="0" w:line="360" w:lineRule="auto"/>
        <w:ind w:firstLine="480" w:firstLineChars="200"/>
        <w:contextualSpacing/>
        <w:rPr>
          <w:rFonts w:ascii="宋体" w:cs="Courier New"/>
          <w:color w:val="auto"/>
        </w:rPr>
      </w:pPr>
      <w:r>
        <w:rPr>
          <w:rFonts w:hint="eastAsia" w:ascii="宋体" w:cs="Courier New"/>
          <w:color w:val="auto"/>
        </w:rPr>
        <w:t>五、我方理解贵方不一定接受最低投标价或任何贵方可能收到的投标。</w:t>
      </w:r>
    </w:p>
    <w:p w14:paraId="48576BA1">
      <w:pPr>
        <w:pStyle w:val="37"/>
        <w:adjustRightInd w:val="0"/>
        <w:spacing w:before="0" w:beforeAutospacing="0" w:after="0" w:afterAutospacing="0" w:line="360" w:lineRule="auto"/>
        <w:ind w:firstLine="480" w:firstLineChars="200"/>
        <w:contextualSpacing/>
        <w:rPr>
          <w:rFonts w:ascii="宋体" w:cs="Courier New"/>
          <w:color w:val="auto"/>
        </w:rPr>
      </w:pPr>
      <w:r>
        <w:rPr>
          <w:rFonts w:hint="eastAsia" w:ascii="宋体" w:cs="Courier New"/>
          <w:color w:val="auto"/>
        </w:rPr>
        <w:t>六、我方如果中标，将保证履行招标文件及其澄清、修改文件（如果有）中的全部责任和义务，按质、按量、按期完成《项目需求》及《合同书》中的全部任务。</w:t>
      </w:r>
    </w:p>
    <w:p w14:paraId="4011652B">
      <w:pPr>
        <w:pStyle w:val="37"/>
        <w:adjustRightInd w:val="0"/>
        <w:spacing w:before="0" w:beforeAutospacing="0" w:after="0" w:afterAutospacing="0" w:line="360" w:lineRule="auto"/>
        <w:ind w:firstLine="480" w:firstLineChars="200"/>
        <w:contextualSpacing/>
        <w:rPr>
          <w:rFonts w:ascii="宋体"/>
          <w:color w:val="auto"/>
        </w:rPr>
      </w:pPr>
      <w:r>
        <w:rPr>
          <w:rFonts w:hint="eastAsia" w:ascii="宋体" w:cs="Courier New"/>
          <w:color w:val="auto"/>
        </w:rPr>
        <w:t>七、我方在此保证所提交的所有文件和全部说明是真实的和正确的。</w:t>
      </w:r>
    </w:p>
    <w:p w14:paraId="0FA38AB9">
      <w:pPr>
        <w:pStyle w:val="24"/>
        <w:adjustRightInd w:val="0"/>
        <w:spacing w:line="360" w:lineRule="auto"/>
        <w:ind w:firstLine="480" w:firstLineChars="200"/>
        <w:contextualSpacing/>
        <w:rPr>
          <w:rFonts w:ascii="宋体" w:hAnsi="宋体" w:cs="Arial"/>
          <w:color w:val="auto"/>
          <w:sz w:val="24"/>
          <w:szCs w:val="24"/>
        </w:rPr>
      </w:pPr>
      <w:r>
        <w:rPr>
          <w:rFonts w:hint="eastAsia" w:ascii="宋体" w:hAnsi="宋体"/>
          <w:color w:val="auto"/>
          <w:sz w:val="24"/>
          <w:szCs w:val="22"/>
        </w:rPr>
        <w:t>八、我方投标报价已包含应向知识产权所有权人支付的所有相关税费，并保证采购人在</w:t>
      </w:r>
      <w:r>
        <w:rPr>
          <w:rFonts w:hint="eastAsia" w:ascii="宋体" w:hAnsi="宋体" w:cs="Arial"/>
          <w:color w:val="auto"/>
          <w:sz w:val="24"/>
          <w:szCs w:val="24"/>
        </w:rPr>
        <w:t xml:space="preserve">中国使用我方提供的货物时，如有第三方提出侵犯其知识产权主张的，责任由我方承担。 </w:t>
      </w:r>
    </w:p>
    <w:p w14:paraId="35131786">
      <w:pPr>
        <w:pStyle w:val="24"/>
        <w:adjustRightInd w:val="0"/>
        <w:spacing w:line="360" w:lineRule="auto"/>
        <w:ind w:firstLine="480" w:firstLineChars="200"/>
        <w:contextualSpacing/>
        <w:rPr>
          <w:rFonts w:ascii="宋体" w:hAnsi="宋体" w:cs="Arial"/>
          <w:color w:val="auto"/>
          <w:sz w:val="24"/>
          <w:szCs w:val="24"/>
        </w:rPr>
      </w:pPr>
      <w:r>
        <w:rPr>
          <w:rFonts w:hint="eastAsia" w:ascii="宋体" w:hAnsi="宋体" w:cs="Arial"/>
          <w:color w:val="auto"/>
          <w:sz w:val="24"/>
          <w:szCs w:val="24"/>
        </w:rPr>
        <w:t>九、我方具备《政府采购法》第二十二条规定的条件；承诺如下：</w:t>
      </w:r>
    </w:p>
    <w:p w14:paraId="4A081930">
      <w:pPr>
        <w:pStyle w:val="24"/>
        <w:adjustRightInd w:val="0"/>
        <w:spacing w:line="360" w:lineRule="auto"/>
        <w:ind w:firstLine="480" w:firstLineChars="200"/>
        <w:contextualSpacing/>
        <w:rPr>
          <w:rFonts w:ascii="宋体" w:hAnsi="宋体" w:cs="Arial"/>
          <w:color w:val="auto"/>
          <w:szCs w:val="24"/>
        </w:rPr>
      </w:pPr>
      <w:r>
        <w:rPr>
          <w:rFonts w:hint="eastAsia" w:ascii="宋体" w:hAnsi="宋体" w:cs="Arial"/>
          <w:color w:val="auto"/>
          <w:sz w:val="24"/>
          <w:szCs w:val="24"/>
        </w:rPr>
        <w:t>（1）具有独立承担民事责任能力的在中华人民共和国境内注册的法人或其他组织或自然人，有效的营业执照（或事业法人登记证或身份证等相关证明）。</w:t>
      </w:r>
    </w:p>
    <w:p w14:paraId="52BDE9CA">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（2）我方已依法缴纳了各项税费及社会保险费用，如有需要，可随时向采购人提供近三个月内的相关缴费证明，以便核查。</w:t>
      </w:r>
    </w:p>
    <w:p w14:paraId="4A718B85">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（3）我方已依法建立健全的财务会计制度，如有需要，可随时向采购人提供相关证明材料，以便核查。</w:t>
      </w:r>
    </w:p>
    <w:p w14:paraId="173C16C8">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（4）参加政府采购活动前三年内，在经营活动中没有重大违法记录。</w:t>
      </w:r>
    </w:p>
    <w:p w14:paraId="10443001">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（5）符合法律、行政法规规定的其他条件。</w:t>
      </w:r>
    </w:p>
    <w:p w14:paraId="0CE03881">
      <w:pPr>
        <w:adjustRightInd w:val="0"/>
        <w:spacing w:line="360" w:lineRule="auto"/>
        <w:ind w:firstLine="504" w:firstLineChars="210"/>
        <w:contextualSpacing/>
        <w:rPr>
          <w:rFonts w:ascii="宋体" w:hAnsi="宋体" w:cs="Arial"/>
          <w:color w:val="auto"/>
          <w:sz w:val="24"/>
          <w:szCs w:val="24"/>
        </w:rPr>
      </w:pPr>
      <w:r>
        <w:rPr>
          <w:rFonts w:hint="eastAsia" w:ascii="宋体" w:hAnsi="宋体" w:cs="宋体"/>
          <w:color w:val="auto"/>
          <w:sz w:val="24"/>
          <w:szCs w:val="24"/>
        </w:rPr>
        <w:t>以上内容如有虚假或与事实不符的，评审委员会可将</w:t>
      </w:r>
      <w:r>
        <w:rPr>
          <w:rFonts w:hint="eastAsia" w:ascii="宋体" w:hAnsi="宋体" w:cs="Arial"/>
          <w:color w:val="auto"/>
          <w:sz w:val="24"/>
          <w:szCs w:val="24"/>
        </w:rPr>
        <w:t>我方做无效投标处理，我方愿意承担相应的法律责任。</w:t>
      </w:r>
    </w:p>
    <w:p w14:paraId="5B0B6683">
      <w:pPr>
        <w:pStyle w:val="24"/>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十、我方具备履行合同所必需的设备和专业技术能力。</w:t>
      </w:r>
    </w:p>
    <w:p w14:paraId="0636157C">
      <w:pPr>
        <w:pStyle w:val="24"/>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十一、我方对在本函及投标文件中所作的所有承诺承担法律责任。</w:t>
      </w:r>
    </w:p>
    <w:p w14:paraId="4FA97B39">
      <w:pPr>
        <w:pStyle w:val="24"/>
        <w:adjustRightInd w:val="0"/>
        <w:snapToGrid w:val="0"/>
        <w:spacing w:line="360" w:lineRule="auto"/>
        <w:rPr>
          <w:rFonts w:ascii="宋体" w:hAnsi="宋体"/>
          <w:color w:val="auto"/>
          <w:szCs w:val="24"/>
        </w:rPr>
      </w:pPr>
    </w:p>
    <w:p w14:paraId="6831B9B4">
      <w:pPr>
        <w:pStyle w:val="24"/>
        <w:adjustRightInd w:val="0"/>
        <w:snapToGrid w:val="0"/>
        <w:spacing w:line="360" w:lineRule="auto"/>
        <w:rPr>
          <w:rFonts w:ascii="宋体" w:hAnsi="宋体"/>
          <w:color w:val="auto"/>
          <w:szCs w:val="24"/>
        </w:rPr>
      </w:pPr>
    </w:p>
    <w:p w14:paraId="7F298663">
      <w:pPr>
        <w:adjustRightInd w:val="0"/>
        <w:snapToGrid w:val="0"/>
        <w:spacing w:line="360" w:lineRule="auto"/>
        <w:rPr>
          <w:rFonts w:ascii="宋体" w:hAnsi="宋体"/>
          <w:color w:val="auto"/>
          <w:sz w:val="24"/>
          <w:szCs w:val="24"/>
        </w:rPr>
      </w:pPr>
      <w:r>
        <w:rPr>
          <w:rFonts w:hint="eastAsia" w:ascii="宋体" w:hAnsi="宋体"/>
          <w:color w:val="auto"/>
          <w:sz w:val="24"/>
          <w:szCs w:val="24"/>
        </w:rPr>
        <w:t>所有与本招标有关的一切正式往来请寄：</w:t>
      </w:r>
    </w:p>
    <w:p w14:paraId="62D13359">
      <w:pPr>
        <w:adjustRightInd w:val="0"/>
        <w:snapToGrid w:val="0"/>
        <w:spacing w:line="360" w:lineRule="auto"/>
        <w:rPr>
          <w:rFonts w:ascii="宋体" w:hAnsi="宋体"/>
          <w:color w:val="auto"/>
          <w:sz w:val="24"/>
          <w:szCs w:val="24"/>
        </w:rPr>
      </w:pPr>
      <w:r>
        <w:rPr>
          <w:rFonts w:hint="eastAsia" w:ascii="宋体" w:hAnsi="宋体"/>
          <w:color w:val="auto"/>
          <w:sz w:val="24"/>
          <w:szCs w:val="24"/>
        </w:rPr>
        <w:t>地    址：.  邮政编码：.</w:t>
      </w:r>
    </w:p>
    <w:p w14:paraId="1DC7FE5D">
      <w:pPr>
        <w:adjustRightInd w:val="0"/>
        <w:snapToGrid w:val="0"/>
        <w:spacing w:line="360" w:lineRule="auto"/>
        <w:rPr>
          <w:rFonts w:ascii="宋体" w:hAnsi="宋体"/>
          <w:color w:val="auto"/>
          <w:sz w:val="24"/>
          <w:szCs w:val="24"/>
        </w:rPr>
      </w:pPr>
      <w:r>
        <w:rPr>
          <w:rFonts w:hint="eastAsia" w:ascii="宋体" w:hAnsi="宋体"/>
          <w:color w:val="auto"/>
          <w:sz w:val="24"/>
          <w:szCs w:val="24"/>
        </w:rPr>
        <w:t>电    话：.  传    真：.</w:t>
      </w:r>
    </w:p>
    <w:p w14:paraId="20CF44C2">
      <w:pPr>
        <w:adjustRightInd w:val="0"/>
        <w:snapToGrid w:val="0"/>
        <w:spacing w:line="360" w:lineRule="auto"/>
        <w:rPr>
          <w:rFonts w:ascii="宋体" w:hAnsi="宋体"/>
          <w:color w:val="auto"/>
          <w:sz w:val="24"/>
          <w:szCs w:val="24"/>
          <w:u w:val="single"/>
        </w:rPr>
      </w:pPr>
      <w:r>
        <w:rPr>
          <w:rFonts w:hint="eastAsia" w:ascii="宋体" w:hAnsi="宋体"/>
          <w:color w:val="auto"/>
          <w:sz w:val="24"/>
          <w:szCs w:val="24"/>
          <w:lang w:eastAsia="zh-CN"/>
        </w:rPr>
        <w:t>投标人</w:t>
      </w:r>
      <w:r>
        <w:rPr>
          <w:rFonts w:hint="eastAsia" w:ascii="宋体" w:hAnsi="宋体"/>
          <w:color w:val="auto"/>
          <w:sz w:val="24"/>
          <w:szCs w:val="24"/>
        </w:rPr>
        <w:t>代表姓名：.  职    务：.</w:t>
      </w:r>
    </w:p>
    <w:p w14:paraId="3143D1D0">
      <w:pPr>
        <w:adjustRightInd w:val="0"/>
        <w:snapToGrid w:val="0"/>
        <w:spacing w:line="360" w:lineRule="auto"/>
        <w:rPr>
          <w:rFonts w:ascii="宋体" w:hAnsi="宋体" w:cs="宋体"/>
          <w:color w:val="auto"/>
          <w:sz w:val="24"/>
          <w:szCs w:val="24"/>
          <w:u w:val="single"/>
        </w:rPr>
      </w:pPr>
    </w:p>
    <w:p w14:paraId="563D9F16">
      <w:pPr>
        <w:adjustRightInd w:val="0"/>
        <w:snapToGrid w:val="0"/>
        <w:spacing w:line="360" w:lineRule="auto"/>
        <w:jc w:val="right"/>
        <w:rPr>
          <w:rFonts w:ascii="宋体" w:hAnsi="宋体" w:cs="宋体"/>
          <w:color w:val="auto"/>
          <w:sz w:val="24"/>
          <w:szCs w:val="24"/>
        </w:rPr>
      </w:pPr>
      <w:r>
        <w:rPr>
          <w:rFonts w:hint="eastAsia" w:ascii="宋体" w:hAnsi="宋体" w:cs="宋体"/>
          <w:color w:val="auto"/>
          <w:sz w:val="24"/>
          <w:szCs w:val="24"/>
          <w:lang w:eastAsia="zh-CN"/>
        </w:rPr>
        <w:t>投标人</w:t>
      </w:r>
      <w:r>
        <w:rPr>
          <w:rFonts w:hint="eastAsia" w:ascii="宋体" w:hAnsi="宋体" w:cs="宋体"/>
          <w:color w:val="auto"/>
          <w:sz w:val="24"/>
          <w:szCs w:val="24"/>
        </w:rPr>
        <w:t>名称（</w:t>
      </w:r>
      <w:r>
        <w:rPr>
          <w:rFonts w:hint="eastAsia" w:ascii="宋体" w:hAnsi="宋体" w:cs="宋体"/>
          <w:color w:val="auto"/>
          <w:sz w:val="24"/>
          <w:szCs w:val="24"/>
          <w:lang w:val="en-US" w:eastAsia="zh-CN"/>
        </w:rPr>
        <w:t>并加盖公章</w:t>
      </w:r>
      <w:r>
        <w:rPr>
          <w:rFonts w:hint="eastAsia" w:ascii="宋体" w:hAnsi="宋体" w:cs="宋体"/>
          <w:color w:val="auto"/>
          <w:sz w:val="24"/>
          <w:szCs w:val="24"/>
        </w:rPr>
        <w:t>）：</w:t>
      </w:r>
    </w:p>
    <w:p w14:paraId="32AE5B93">
      <w:pPr>
        <w:adjustRightInd w:val="0"/>
        <w:snapToGrid w:val="0"/>
        <w:spacing w:line="360" w:lineRule="auto"/>
        <w:ind w:firstLine="4920" w:firstLineChars="2050"/>
        <w:jc w:val="center"/>
        <w:rPr>
          <w:rFonts w:ascii="宋体" w:hAnsi="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日期：   年   月   日</w:t>
      </w:r>
    </w:p>
    <w:p w14:paraId="0C2528C9">
      <w:pPr>
        <w:spacing w:line="480" w:lineRule="exact"/>
        <w:jc w:val="center"/>
        <w:rPr>
          <w:rFonts w:ascii="宋体" w:hAnsi="宋体"/>
          <w:b/>
          <w:bCs/>
          <w:color w:val="auto"/>
          <w:sz w:val="36"/>
          <w:szCs w:val="36"/>
        </w:rPr>
      </w:pPr>
    </w:p>
    <w:p w14:paraId="7E9921ED">
      <w:pPr>
        <w:spacing w:line="480" w:lineRule="exact"/>
        <w:jc w:val="center"/>
        <w:rPr>
          <w:rFonts w:ascii="宋体" w:hAnsi="宋体"/>
          <w:b/>
          <w:bCs/>
          <w:color w:val="auto"/>
          <w:sz w:val="36"/>
          <w:szCs w:val="36"/>
        </w:rPr>
      </w:pPr>
    </w:p>
    <w:p w14:paraId="3B9F266D">
      <w:pPr>
        <w:spacing w:line="480" w:lineRule="exact"/>
        <w:jc w:val="center"/>
        <w:rPr>
          <w:rFonts w:ascii="宋体" w:hAnsi="宋体"/>
          <w:b/>
          <w:bCs/>
          <w:color w:val="auto"/>
          <w:sz w:val="36"/>
          <w:szCs w:val="36"/>
        </w:rPr>
      </w:pPr>
    </w:p>
    <w:p w14:paraId="28B1C76B">
      <w:pPr>
        <w:spacing w:line="480" w:lineRule="exact"/>
        <w:jc w:val="center"/>
        <w:rPr>
          <w:rFonts w:ascii="宋体" w:hAnsi="宋体"/>
          <w:b/>
          <w:bCs/>
          <w:color w:val="auto"/>
          <w:sz w:val="36"/>
          <w:szCs w:val="36"/>
        </w:rPr>
      </w:pPr>
    </w:p>
    <w:p w14:paraId="7FD3912B">
      <w:pPr>
        <w:spacing w:line="480" w:lineRule="exact"/>
        <w:jc w:val="center"/>
        <w:rPr>
          <w:rFonts w:hint="eastAsia" w:ascii="宋体" w:hAnsi="宋体"/>
          <w:b/>
          <w:bCs/>
          <w:color w:val="auto"/>
          <w:sz w:val="36"/>
          <w:szCs w:val="36"/>
        </w:rPr>
      </w:pPr>
    </w:p>
    <w:p w14:paraId="5F8507D1">
      <w:pPr>
        <w:spacing w:line="480" w:lineRule="exact"/>
        <w:jc w:val="center"/>
        <w:rPr>
          <w:rFonts w:hint="eastAsia" w:ascii="宋体" w:hAnsi="宋体"/>
          <w:b/>
          <w:bCs/>
          <w:color w:val="auto"/>
          <w:sz w:val="36"/>
          <w:szCs w:val="36"/>
        </w:rPr>
      </w:pPr>
    </w:p>
    <w:p w14:paraId="576051A0">
      <w:pPr>
        <w:pStyle w:val="2"/>
        <w:rPr>
          <w:rFonts w:hint="eastAsia" w:ascii="宋体" w:hAnsi="宋体"/>
          <w:b/>
          <w:bCs/>
          <w:color w:val="auto"/>
          <w:sz w:val="36"/>
          <w:szCs w:val="36"/>
        </w:rPr>
      </w:pPr>
    </w:p>
    <w:p w14:paraId="6119DDA3">
      <w:pPr>
        <w:pStyle w:val="6"/>
        <w:rPr>
          <w:rFonts w:hint="eastAsia"/>
          <w:color w:val="auto"/>
        </w:rPr>
      </w:pPr>
    </w:p>
    <w:p w14:paraId="587498C0">
      <w:pPr>
        <w:spacing w:line="480" w:lineRule="exact"/>
        <w:jc w:val="center"/>
        <w:rPr>
          <w:rFonts w:ascii="宋体" w:hAnsi="宋体"/>
          <w:b/>
          <w:bCs/>
          <w:color w:val="auto"/>
          <w:sz w:val="36"/>
          <w:szCs w:val="36"/>
        </w:rPr>
      </w:pPr>
      <w:r>
        <w:rPr>
          <w:rFonts w:hint="eastAsia" w:ascii="宋体" w:hAnsi="宋体"/>
          <w:b/>
          <w:bCs/>
          <w:color w:val="auto"/>
          <w:sz w:val="36"/>
          <w:szCs w:val="36"/>
        </w:rPr>
        <w:t>3.2 法定代表人（单位负责人）</w:t>
      </w:r>
      <w:r>
        <w:rPr>
          <w:rFonts w:ascii="宋体" w:hAnsi="宋体"/>
          <w:b/>
          <w:bCs/>
          <w:color w:val="auto"/>
          <w:sz w:val="36"/>
          <w:szCs w:val="36"/>
        </w:rPr>
        <w:t>资</w:t>
      </w:r>
      <w:r>
        <w:rPr>
          <w:rFonts w:hint="eastAsia" w:ascii="宋体" w:hAnsi="宋体"/>
          <w:b/>
          <w:bCs/>
          <w:color w:val="auto"/>
          <w:sz w:val="36"/>
          <w:szCs w:val="36"/>
        </w:rPr>
        <w:t>格</w:t>
      </w:r>
      <w:r>
        <w:rPr>
          <w:rFonts w:ascii="宋体" w:hAnsi="宋体"/>
          <w:b/>
          <w:bCs/>
          <w:color w:val="auto"/>
          <w:sz w:val="36"/>
          <w:szCs w:val="36"/>
        </w:rPr>
        <w:t>证</w:t>
      </w:r>
      <w:r>
        <w:rPr>
          <w:rFonts w:hint="eastAsia" w:ascii="宋体" w:hAnsi="宋体"/>
          <w:b/>
          <w:bCs/>
          <w:color w:val="auto"/>
          <w:sz w:val="36"/>
          <w:szCs w:val="36"/>
        </w:rPr>
        <w:t>明</w:t>
      </w:r>
      <w:r>
        <w:rPr>
          <w:rFonts w:ascii="宋体" w:hAnsi="宋体"/>
          <w:b/>
          <w:bCs/>
          <w:color w:val="auto"/>
          <w:sz w:val="36"/>
          <w:szCs w:val="36"/>
        </w:rPr>
        <w:t>书</w:t>
      </w:r>
    </w:p>
    <w:p w14:paraId="2638DFDF">
      <w:pPr>
        <w:autoSpaceDE w:val="0"/>
        <w:autoSpaceDN w:val="0"/>
        <w:adjustRightInd w:val="0"/>
        <w:spacing w:line="480" w:lineRule="auto"/>
        <w:ind w:firstLine="616" w:firstLineChars="257"/>
        <w:rPr>
          <w:rFonts w:ascii="宋体" w:hAnsi="宋体"/>
          <w:color w:val="auto"/>
          <w:sz w:val="24"/>
          <w:szCs w:val="24"/>
        </w:rPr>
      </w:pPr>
    </w:p>
    <w:p w14:paraId="24FF2334">
      <w:pPr>
        <w:pStyle w:val="125"/>
        <w:spacing w:line="480" w:lineRule="auto"/>
        <w:ind w:firstLine="540" w:firstLineChars="225"/>
        <w:jc w:val="left"/>
        <w:rPr>
          <w:rFonts w:hAnsi="宋体"/>
          <w:color w:val="auto"/>
          <w:szCs w:val="24"/>
        </w:rPr>
      </w:pPr>
      <w:r>
        <w:rPr>
          <w:rFonts w:hAnsi="宋体"/>
          <w:color w:val="auto"/>
          <w:szCs w:val="24"/>
        </w:rPr>
        <w:t>单</w:t>
      </w:r>
      <w:r>
        <w:rPr>
          <w:rFonts w:hint="eastAsia" w:hAnsi="宋体"/>
          <w:color w:val="auto"/>
          <w:szCs w:val="24"/>
        </w:rPr>
        <w:t>位名</w:t>
      </w:r>
      <w:r>
        <w:rPr>
          <w:rFonts w:hAnsi="宋体"/>
          <w:color w:val="auto"/>
          <w:szCs w:val="24"/>
        </w:rPr>
        <w:t>称</w:t>
      </w:r>
      <w:r>
        <w:rPr>
          <w:rFonts w:hint="eastAsia" w:hAnsi="宋体"/>
          <w:color w:val="auto"/>
          <w:szCs w:val="24"/>
        </w:rPr>
        <w:t>：</w:t>
      </w:r>
    </w:p>
    <w:p w14:paraId="48E3539B">
      <w:pPr>
        <w:pStyle w:val="125"/>
        <w:spacing w:line="480" w:lineRule="auto"/>
        <w:ind w:firstLine="540" w:firstLineChars="225"/>
        <w:jc w:val="left"/>
        <w:rPr>
          <w:rFonts w:hAnsi="宋体"/>
          <w:color w:val="auto"/>
          <w:szCs w:val="24"/>
        </w:rPr>
      </w:pPr>
      <w:r>
        <w:rPr>
          <w:rFonts w:hint="eastAsia" w:hAnsi="宋体"/>
          <w:color w:val="auto"/>
          <w:szCs w:val="24"/>
        </w:rPr>
        <w:t>地址：</w:t>
      </w:r>
    </w:p>
    <w:p w14:paraId="2FF51BCA">
      <w:pPr>
        <w:pStyle w:val="125"/>
        <w:spacing w:line="480" w:lineRule="auto"/>
        <w:ind w:firstLine="540" w:firstLineChars="225"/>
        <w:jc w:val="left"/>
        <w:rPr>
          <w:rFonts w:hAnsi="宋体"/>
          <w:color w:val="auto"/>
          <w:szCs w:val="24"/>
        </w:rPr>
      </w:pPr>
      <w:r>
        <w:rPr>
          <w:rFonts w:hint="eastAsia" w:hAnsi="宋体"/>
          <w:color w:val="auto"/>
          <w:szCs w:val="24"/>
        </w:rPr>
        <w:t>姓名：       性</w:t>
      </w:r>
      <w:r>
        <w:rPr>
          <w:rFonts w:hAnsi="宋体"/>
          <w:color w:val="auto"/>
          <w:szCs w:val="24"/>
        </w:rPr>
        <w:t>别</w:t>
      </w:r>
      <w:r>
        <w:rPr>
          <w:rFonts w:hint="eastAsia" w:hAnsi="宋体"/>
          <w:color w:val="auto"/>
          <w:szCs w:val="24"/>
        </w:rPr>
        <w:t>：     年</w:t>
      </w:r>
      <w:r>
        <w:rPr>
          <w:rFonts w:hAnsi="宋体"/>
          <w:color w:val="auto"/>
          <w:szCs w:val="24"/>
        </w:rPr>
        <w:t>龄</w:t>
      </w:r>
      <w:r>
        <w:rPr>
          <w:rFonts w:hint="eastAsia" w:hAnsi="宋体"/>
          <w:color w:val="auto"/>
          <w:szCs w:val="24"/>
        </w:rPr>
        <w:t>：</w:t>
      </w:r>
      <w:r>
        <w:rPr>
          <w:rFonts w:hAnsi="宋体"/>
          <w:color w:val="auto"/>
          <w:szCs w:val="24"/>
        </w:rPr>
        <w:t xml:space="preserve">     职务</w:t>
      </w:r>
      <w:r>
        <w:rPr>
          <w:rFonts w:hint="eastAsia" w:hAnsi="宋体"/>
          <w:color w:val="auto"/>
          <w:szCs w:val="24"/>
        </w:rPr>
        <w:t>：        联系电话：</w:t>
      </w:r>
    </w:p>
    <w:p w14:paraId="34E292B6">
      <w:pPr>
        <w:pStyle w:val="125"/>
        <w:spacing w:line="480" w:lineRule="auto"/>
        <w:ind w:firstLine="540" w:firstLineChars="225"/>
        <w:jc w:val="left"/>
        <w:rPr>
          <w:rFonts w:hAnsi="宋体"/>
          <w:color w:val="auto"/>
          <w:szCs w:val="24"/>
        </w:rPr>
      </w:pPr>
      <w:r>
        <w:rPr>
          <w:rFonts w:hint="eastAsia" w:hAnsi="宋体"/>
          <w:color w:val="auto"/>
          <w:szCs w:val="24"/>
        </w:rPr>
        <w:t>本人系</w:t>
      </w:r>
      <w:r>
        <w:rPr>
          <w:rFonts w:hint="eastAsia" w:ascii="宋体" w:hAnsi="宋体" w:eastAsia="宋体" w:cs="Times New Roman"/>
          <w:snapToGrid w:val="0"/>
          <w:color w:val="auto"/>
          <w:kern w:val="0"/>
          <w:sz w:val="24"/>
          <w:szCs w:val="24"/>
          <w:u w:val="single"/>
          <w:lang w:val="en-US" w:eastAsia="zh-CN" w:bidi="ar-SA"/>
        </w:rPr>
        <w:t>投标人名称</w:t>
      </w:r>
      <w:r>
        <w:rPr>
          <w:rFonts w:hint="eastAsia" w:hAnsi="宋体"/>
          <w:color w:val="auto"/>
          <w:szCs w:val="24"/>
        </w:rPr>
        <w:t>的法定代表人。就</w:t>
      </w:r>
      <w:r>
        <w:rPr>
          <w:rFonts w:hAnsi="宋体"/>
          <w:color w:val="auto"/>
          <w:szCs w:val="24"/>
        </w:rPr>
        <w:t>参</w:t>
      </w:r>
      <w:r>
        <w:rPr>
          <w:rFonts w:hint="eastAsia" w:hAnsi="宋体"/>
          <w:color w:val="auto"/>
          <w:szCs w:val="24"/>
        </w:rPr>
        <w:t>加贵方项目</w:t>
      </w:r>
      <w:r>
        <w:rPr>
          <w:rFonts w:hAnsi="宋体"/>
          <w:color w:val="auto"/>
          <w:szCs w:val="24"/>
        </w:rPr>
        <w:t>编号为</w:t>
      </w:r>
      <w:r>
        <w:rPr>
          <w:rFonts w:hint="eastAsia" w:ascii="宋体" w:hAnsi="宋体" w:eastAsia="宋体" w:cs="Times New Roman"/>
          <w:snapToGrid w:val="0"/>
          <w:color w:val="auto"/>
          <w:kern w:val="0"/>
          <w:sz w:val="24"/>
          <w:szCs w:val="24"/>
          <w:u w:val="single"/>
          <w:lang w:val="en-US" w:eastAsia="zh-CN" w:bidi="ar-SA"/>
        </w:rPr>
        <w:t>项目编号</w:t>
      </w:r>
      <w:r>
        <w:rPr>
          <w:rFonts w:hint="eastAsia" w:hAnsi="宋体"/>
          <w:color w:val="auto"/>
          <w:szCs w:val="24"/>
        </w:rPr>
        <w:t>的</w:t>
      </w:r>
      <w:r>
        <w:rPr>
          <w:rFonts w:hint="eastAsia" w:ascii="宋体" w:hAnsi="宋体" w:eastAsia="宋体" w:cs="Times New Roman"/>
          <w:snapToGrid w:val="0"/>
          <w:color w:val="auto"/>
          <w:kern w:val="0"/>
          <w:sz w:val="24"/>
          <w:szCs w:val="24"/>
          <w:u w:val="single"/>
          <w:lang w:val="en-US" w:eastAsia="zh-CN" w:bidi="ar-SA"/>
        </w:rPr>
        <w:t>项目名称</w:t>
      </w:r>
      <w:r>
        <w:rPr>
          <w:rFonts w:hint="eastAsia" w:hAnsi="宋体"/>
          <w:color w:val="auto"/>
          <w:szCs w:val="24"/>
        </w:rPr>
        <w:t>公</w:t>
      </w:r>
      <w:r>
        <w:rPr>
          <w:rFonts w:hAnsi="宋体"/>
          <w:color w:val="auto"/>
          <w:szCs w:val="24"/>
        </w:rPr>
        <w:t>开</w:t>
      </w:r>
      <w:r>
        <w:rPr>
          <w:rFonts w:hint="eastAsia" w:hAnsi="宋体"/>
          <w:color w:val="auto"/>
          <w:szCs w:val="24"/>
        </w:rPr>
        <w:t>招</w:t>
      </w:r>
      <w:r>
        <w:rPr>
          <w:rFonts w:hAnsi="宋体"/>
          <w:color w:val="auto"/>
          <w:szCs w:val="24"/>
        </w:rPr>
        <w:t>标项目</w:t>
      </w:r>
      <w:r>
        <w:rPr>
          <w:rFonts w:hint="eastAsia" w:hAnsi="宋体"/>
          <w:color w:val="auto"/>
          <w:szCs w:val="24"/>
        </w:rPr>
        <w:t>的投</w:t>
      </w:r>
      <w:r>
        <w:rPr>
          <w:rFonts w:hAnsi="宋体"/>
          <w:color w:val="auto"/>
          <w:szCs w:val="24"/>
        </w:rPr>
        <w:t>标报价</w:t>
      </w:r>
      <w:r>
        <w:rPr>
          <w:rFonts w:hint="eastAsia" w:hAnsi="宋体"/>
          <w:color w:val="auto"/>
          <w:szCs w:val="24"/>
        </w:rPr>
        <w:t>，</w:t>
      </w:r>
      <w:r>
        <w:rPr>
          <w:rFonts w:hAnsi="宋体"/>
          <w:color w:val="auto"/>
          <w:szCs w:val="24"/>
        </w:rPr>
        <w:t>签</w:t>
      </w:r>
      <w:r>
        <w:rPr>
          <w:rFonts w:hint="eastAsia" w:hAnsi="宋体"/>
          <w:color w:val="auto"/>
          <w:szCs w:val="24"/>
        </w:rPr>
        <w:t>署上</w:t>
      </w:r>
      <w:r>
        <w:rPr>
          <w:rFonts w:hAnsi="宋体"/>
          <w:color w:val="auto"/>
          <w:szCs w:val="24"/>
        </w:rPr>
        <w:t>述项目</w:t>
      </w:r>
      <w:r>
        <w:rPr>
          <w:rFonts w:hint="eastAsia" w:hAnsi="宋体"/>
          <w:color w:val="auto"/>
          <w:szCs w:val="24"/>
        </w:rPr>
        <w:t>的投</w:t>
      </w:r>
      <w:r>
        <w:rPr>
          <w:rFonts w:hAnsi="宋体"/>
          <w:color w:val="auto"/>
          <w:szCs w:val="24"/>
        </w:rPr>
        <w:t>标</w:t>
      </w:r>
      <w:r>
        <w:rPr>
          <w:rFonts w:hint="eastAsia" w:hAnsi="宋体"/>
          <w:color w:val="auto"/>
          <w:szCs w:val="24"/>
        </w:rPr>
        <w:t>文件及合同的</w:t>
      </w:r>
      <w:r>
        <w:rPr>
          <w:rFonts w:hAnsi="宋体"/>
          <w:color w:val="auto"/>
          <w:szCs w:val="24"/>
        </w:rPr>
        <w:t>执</w:t>
      </w:r>
      <w:r>
        <w:rPr>
          <w:rFonts w:hint="eastAsia" w:hAnsi="宋体"/>
          <w:color w:val="auto"/>
          <w:szCs w:val="24"/>
        </w:rPr>
        <w:t>行、完成、服</w:t>
      </w:r>
      <w:r>
        <w:rPr>
          <w:rFonts w:hAnsi="宋体"/>
          <w:color w:val="auto"/>
          <w:szCs w:val="24"/>
        </w:rPr>
        <w:t>务</w:t>
      </w:r>
      <w:r>
        <w:rPr>
          <w:rFonts w:hint="eastAsia" w:hAnsi="宋体"/>
          <w:color w:val="auto"/>
          <w:szCs w:val="24"/>
        </w:rPr>
        <w:t>和保修，</w:t>
      </w:r>
      <w:r>
        <w:rPr>
          <w:rFonts w:hAnsi="宋体"/>
          <w:color w:val="auto"/>
          <w:szCs w:val="24"/>
        </w:rPr>
        <w:t>签</w:t>
      </w:r>
      <w:r>
        <w:rPr>
          <w:rFonts w:hint="eastAsia" w:hAnsi="宋体"/>
          <w:color w:val="auto"/>
          <w:szCs w:val="24"/>
        </w:rPr>
        <w:t>署合同和</w:t>
      </w:r>
      <w:r>
        <w:rPr>
          <w:rFonts w:hAnsi="宋体"/>
          <w:color w:val="auto"/>
          <w:szCs w:val="24"/>
        </w:rPr>
        <w:t>处</w:t>
      </w:r>
      <w:r>
        <w:rPr>
          <w:rFonts w:hint="eastAsia" w:hAnsi="宋体"/>
          <w:color w:val="auto"/>
          <w:szCs w:val="24"/>
        </w:rPr>
        <w:t>理与之有</w:t>
      </w:r>
      <w:r>
        <w:rPr>
          <w:rFonts w:hAnsi="宋体"/>
          <w:color w:val="auto"/>
          <w:szCs w:val="24"/>
        </w:rPr>
        <w:t>关的</w:t>
      </w:r>
      <w:r>
        <w:rPr>
          <w:rFonts w:hint="eastAsia" w:hAnsi="宋体"/>
          <w:color w:val="auto"/>
          <w:szCs w:val="24"/>
        </w:rPr>
        <w:t>一切事</w:t>
      </w:r>
      <w:r>
        <w:rPr>
          <w:rFonts w:hAnsi="宋体"/>
          <w:color w:val="auto"/>
          <w:szCs w:val="24"/>
        </w:rPr>
        <w:t>务</w:t>
      </w:r>
      <w:r>
        <w:rPr>
          <w:rFonts w:hint="eastAsia" w:hAnsi="宋体"/>
          <w:color w:val="auto"/>
          <w:szCs w:val="24"/>
        </w:rPr>
        <w:t>。</w:t>
      </w:r>
    </w:p>
    <w:p w14:paraId="43F5F6F4">
      <w:pPr>
        <w:pStyle w:val="125"/>
        <w:spacing w:line="480" w:lineRule="auto"/>
        <w:ind w:firstLine="540" w:firstLineChars="225"/>
        <w:jc w:val="left"/>
        <w:rPr>
          <w:rFonts w:hAnsi="宋体"/>
          <w:color w:val="auto"/>
          <w:szCs w:val="24"/>
        </w:rPr>
      </w:pPr>
      <w:r>
        <w:rPr>
          <w:rFonts w:hint="eastAsia" w:hAnsi="宋体"/>
          <w:color w:val="auto"/>
          <w:szCs w:val="24"/>
        </w:rPr>
        <w:t>特此</w:t>
      </w:r>
      <w:r>
        <w:rPr>
          <w:rFonts w:hAnsi="宋体"/>
          <w:color w:val="auto"/>
          <w:szCs w:val="24"/>
        </w:rPr>
        <w:t>证</w:t>
      </w:r>
      <w:r>
        <w:rPr>
          <w:rFonts w:hint="eastAsia" w:hAnsi="宋体"/>
          <w:color w:val="auto"/>
          <w:szCs w:val="24"/>
        </w:rPr>
        <w:t>明。</w:t>
      </w:r>
    </w:p>
    <w:p w14:paraId="67529607">
      <w:pPr>
        <w:pStyle w:val="125"/>
        <w:spacing w:line="480" w:lineRule="auto"/>
        <w:ind w:firstLine="540" w:firstLineChars="225"/>
        <w:jc w:val="left"/>
        <w:rPr>
          <w:rFonts w:hAnsi="宋体"/>
          <w:color w:val="auto"/>
          <w:szCs w:val="24"/>
        </w:rPr>
      </w:pPr>
    </w:p>
    <w:p w14:paraId="45BF30A0">
      <w:pPr>
        <w:pStyle w:val="125"/>
        <w:spacing w:line="480" w:lineRule="auto"/>
        <w:ind w:firstLine="540" w:firstLineChars="225"/>
        <w:jc w:val="left"/>
        <w:rPr>
          <w:rFonts w:hAnsi="宋体"/>
          <w:color w:val="auto"/>
          <w:szCs w:val="24"/>
        </w:rPr>
      </w:pPr>
    </w:p>
    <w:p w14:paraId="73BCC766">
      <w:pPr>
        <w:pStyle w:val="125"/>
        <w:spacing w:line="480" w:lineRule="auto"/>
        <w:ind w:left="-538" w:leftChars="-256" w:firstLine="616" w:firstLineChars="257"/>
        <w:jc w:val="center"/>
        <w:rPr>
          <w:rFonts w:hAnsi="宋体"/>
          <w:bCs/>
          <w:color w:val="auto"/>
          <w:szCs w:val="24"/>
        </w:rPr>
      </w:pPr>
      <w:r>
        <w:rPr>
          <w:rFonts w:hint="eastAsia" w:hAnsi="宋体"/>
          <w:bCs/>
          <w:color w:val="auto"/>
          <w:szCs w:val="24"/>
        </w:rPr>
        <w:t>【此</w:t>
      </w:r>
      <w:r>
        <w:rPr>
          <w:rFonts w:hAnsi="宋体"/>
          <w:bCs/>
          <w:color w:val="auto"/>
          <w:szCs w:val="24"/>
        </w:rPr>
        <w:t>处请</w:t>
      </w:r>
      <w:r>
        <w:rPr>
          <w:rFonts w:hint="eastAsia" w:hAnsi="宋体"/>
          <w:bCs/>
          <w:color w:val="auto"/>
          <w:szCs w:val="24"/>
        </w:rPr>
        <w:t>粘</w:t>
      </w:r>
      <w:r>
        <w:rPr>
          <w:rFonts w:hAnsi="宋体"/>
          <w:bCs/>
          <w:color w:val="auto"/>
          <w:szCs w:val="24"/>
        </w:rPr>
        <w:t>贴</w:t>
      </w:r>
      <w:r>
        <w:rPr>
          <w:rFonts w:hint="eastAsia" w:hAnsi="宋体"/>
          <w:bCs/>
          <w:color w:val="auto"/>
          <w:szCs w:val="24"/>
        </w:rPr>
        <w:t>法定代表人身份</w:t>
      </w:r>
      <w:r>
        <w:rPr>
          <w:rFonts w:hAnsi="宋体"/>
          <w:bCs/>
          <w:color w:val="auto"/>
          <w:szCs w:val="24"/>
        </w:rPr>
        <w:t>证复</w:t>
      </w:r>
      <w:r>
        <w:rPr>
          <w:rFonts w:hint="eastAsia" w:hAnsi="宋体"/>
          <w:bCs/>
          <w:color w:val="auto"/>
          <w:szCs w:val="24"/>
        </w:rPr>
        <w:t>印件，需清晰反映身份证有效期限】</w:t>
      </w:r>
    </w:p>
    <w:p w14:paraId="2C4EEA0C">
      <w:pPr>
        <w:pStyle w:val="125"/>
        <w:spacing w:line="480" w:lineRule="auto"/>
        <w:ind w:left="-538" w:leftChars="-256" w:firstLine="616" w:firstLineChars="257"/>
        <w:jc w:val="center"/>
        <w:rPr>
          <w:rFonts w:hAnsi="宋体"/>
          <w:bCs/>
          <w:color w:val="auto"/>
          <w:szCs w:val="24"/>
        </w:rPr>
      </w:pPr>
    </w:p>
    <w:p w14:paraId="21C93161">
      <w:pPr>
        <w:autoSpaceDE w:val="0"/>
        <w:autoSpaceDN w:val="0"/>
        <w:adjustRightInd w:val="0"/>
        <w:spacing w:line="360" w:lineRule="auto"/>
        <w:ind w:right="-11"/>
        <w:rPr>
          <w:rFonts w:ascii="宋体" w:hAnsi="宋体" w:cs="宋体"/>
          <w:color w:val="auto"/>
          <w:sz w:val="24"/>
          <w:szCs w:val="24"/>
          <w:lang w:val="zh-CN"/>
        </w:rPr>
      </w:pPr>
    </w:p>
    <w:p w14:paraId="71FC33A9">
      <w:pPr>
        <w:autoSpaceDE w:val="0"/>
        <w:autoSpaceDN w:val="0"/>
        <w:adjustRightInd w:val="0"/>
        <w:spacing w:line="360" w:lineRule="auto"/>
        <w:ind w:right="-11"/>
        <w:rPr>
          <w:rFonts w:ascii="宋体" w:hAnsi="宋体" w:cs="宋体"/>
          <w:color w:val="auto"/>
          <w:sz w:val="24"/>
          <w:szCs w:val="24"/>
          <w:lang w:val="zh-CN"/>
        </w:rPr>
      </w:pPr>
    </w:p>
    <w:p w14:paraId="158006F8">
      <w:pPr>
        <w:autoSpaceDE w:val="0"/>
        <w:autoSpaceDN w:val="0"/>
        <w:adjustRightInd w:val="0"/>
        <w:spacing w:line="360" w:lineRule="auto"/>
        <w:ind w:right="-11"/>
        <w:rPr>
          <w:rFonts w:ascii="宋体" w:hAnsi="宋体" w:cs="宋体"/>
          <w:color w:val="auto"/>
          <w:sz w:val="24"/>
          <w:szCs w:val="24"/>
          <w:lang w:val="zh-CN"/>
        </w:rPr>
      </w:pPr>
    </w:p>
    <w:p w14:paraId="3454D55B">
      <w:pPr>
        <w:spacing w:line="480" w:lineRule="auto"/>
        <w:ind w:firstLine="3900" w:firstLineChars="1625"/>
        <w:rPr>
          <w:rFonts w:ascii="宋体" w:hAnsi="宋体" w:cs="Arial"/>
          <w:color w:val="auto"/>
          <w:sz w:val="24"/>
          <w:szCs w:val="24"/>
          <w:u w:val="single"/>
        </w:rPr>
      </w:pPr>
      <w:r>
        <w:rPr>
          <w:rFonts w:hint="eastAsia" w:ascii="宋体" w:hAnsi="宋体" w:cs="Arial"/>
          <w:color w:val="auto"/>
          <w:sz w:val="24"/>
          <w:szCs w:val="24"/>
          <w:lang w:eastAsia="zh-CN"/>
        </w:rPr>
        <w:t>投标人</w:t>
      </w:r>
      <w:r>
        <w:rPr>
          <w:rFonts w:hint="eastAsia" w:ascii="宋体" w:hAnsi="宋体" w:cs="Arial"/>
          <w:color w:val="auto"/>
          <w:sz w:val="24"/>
          <w:szCs w:val="24"/>
        </w:rPr>
        <w:t>名称（并加盖公章）：</w:t>
      </w:r>
    </w:p>
    <w:p w14:paraId="7C10999F">
      <w:pPr>
        <w:pStyle w:val="135"/>
        <w:spacing w:before="60" w:line="480" w:lineRule="auto"/>
        <w:ind w:firstLine="3900" w:firstLineChars="1625"/>
        <w:rPr>
          <w:rFonts w:ascii="宋体" w:hAnsi="宋体" w:cs="Arial"/>
          <w:color w:val="auto"/>
          <w:szCs w:val="24"/>
        </w:rPr>
      </w:pPr>
      <w:r>
        <w:rPr>
          <w:rFonts w:hint="eastAsia" w:ascii="宋体" w:hAnsi="宋体" w:cs="Arial"/>
          <w:color w:val="auto"/>
          <w:szCs w:val="24"/>
        </w:rPr>
        <w:t>签署日期：   年   月  日</w:t>
      </w:r>
    </w:p>
    <w:p w14:paraId="7837FAC7">
      <w:pPr>
        <w:pStyle w:val="128"/>
        <w:spacing w:line="480" w:lineRule="auto"/>
        <w:rPr>
          <w:rFonts w:ascii="宋体" w:hAnsi="宋体" w:cs="Arial"/>
          <w:color w:val="auto"/>
          <w:szCs w:val="24"/>
        </w:rPr>
      </w:pPr>
    </w:p>
    <w:p w14:paraId="33D56C6E">
      <w:pPr>
        <w:rPr>
          <w:color w:val="auto"/>
        </w:rPr>
      </w:pPr>
    </w:p>
    <w:p w14:paraId="0C17396A">
      <w:pPr>
        <w:spacing w:line="320" w:lineRule="exact"/>
        <w:rPr>
          <w:rFonts w:ascii="宋体" w:hAnsi="宋体"/>
          <w:bCs/>
          <w:color w:val="auto"/>
          <w:kern w:val="12"/>
          <w:sz w:val="24"/>
          <w:szCs w:val="24"/>
        </w:rPr>
      </w:pPr>
      <w:r>
        <w:rPr>
          <w:rFonts w:hint="eastAsia" w:ascii="宋体" w:hAnsi="宋体"/>
          <w:bCs/>
          <w:color w:val="auto"/>
          <w:kern w:val="12"/>
          <w:sz w:val="24"/>
          <w:szCs w:val="24"/>
        </w:rPr>
        <w:t>说明：法定代表人（单位负责人）</w:t>
      </w:r>
      <w:r>
        <w:rPr>
          <w:rFonts w:ascii="宋体" w:hAnsi="宋体"/>
          <w:bCs/>
          <w:color w:val="auto"/>
          <w:kern w:val="12"/>
          <w:sz w:val="24"/>
          <w:szCs w:val="24"/>
        </w:rPr>
        <w:t>参</w:t>
      </w:r>
      <w:r>
        <w:rPr>
          <w:rFonts w:hint="eastAsia" w:ascii="宋体" w:hAnsi="宋体"/>
          <w:bCs/>
          <w:color w:val="auto"/>
          <w:kern w:val="12"/>
          <w:sz w:val="24"/>
          <w:szCs w:val="24"/>
        </w:rPr>
        <w:t>加本招</w:t>
      </w:r>
      <w:r>
        <w:rPr>
          <w:rFonts w:ascii="宋体" w:hAnsi="宋体"/>
          <w:bCs/>
          <w:color w:val="auto"/>
          <w:kern w:val="12"/>
          <w:sz w:val="24"/>
          <w:szCs w:val="24"/>
        </w:rPr>
        <w:t>标项目</w:t>
      </w:r>
      <w:r>
        <w:rPr>
          <w:rFonts w:hint="eastAsia" w:ascii="宋体" w:hAnsi="宋体"/>
          <w:bCs/>
          <w:color w:val="auto"/>
          <w:kern w:val="12"/>
          <w:sz w:val="24"/>
          <w:szCs w:val="24"/>
        </w:rPr>
        <w:t>投</w:t>
      </w:r>
      <w:r>
        <w:rPr>
          <w:rFonts w:ascii="宋体" w:hAnsi="宋体"/>
          <w:bCs/>
          <w:color w:val="auto"/>
          <w:kern w:val="12"/>
          <w:sz w:val="24"/>
          <w:szCs w:val="24"/>
        </w:rPr>
        <w:t>标</w:t>
      </w:r>
      <w:r>
        <w:rPr>
          <w:rFonts w:hint="eastAsia" w:ascii="宋体" w:hAnsi="宋体"/>
          <w:bCs/>
          <w:color w:val="auto"/>
          <w:kern w:val="12"/>
          <w:sz w:val="24"/>
          <w:szCs w:val="24"/>
        </w:rPr>
        <w:t>的，</w:t>
      </w:r>
      <w:r>
        <w:rPr>
          <w:rFonts w:ascii="宋体" w:hAnsi="宋体"/>
          <w:bCs/>
          <w:color w:val="auto"/>
          <w:kern w:val="12"/>
          <w:sz w:val="24"/>
          <w:szCs w:val="24"/>
        </w:rPr>
        <w:t>仅须</w:t>
      </w:r>
      <w:r>
        <w:rPr>
          <w:rFonts w:hint="eastAsia" w:ascii="宋体" w:hAnsi="宋体"/>
          <w:bCs/>
          <w:color w:val="auto"/>
          <w:kern w:val="12"/>
          <w:sz w:val="24"/>
          <w:szCs w:val="24"/>
        </w:rPr>
        <w:t>出具此</w:t>
      </w:r>
      <w:r>
        <w:rPr>
          <w:rFonts w:ascii="宋体" w:hAnsi="宋体"/>
          <w:bCs/>
          <w:color w:val="auto"/>
          <w:kern w:val="12"/>
          <w:sz w:val="24"/>
          <w:szCs w:val="24"/>
        </w:rPr>
        <w:t>证</w:t>
      </w:r>
      <w:r>
        <w:rPr>
          <w:rFonts w:hint="eastAsia" w:ascii="宋体" w:hAnsi="宋体"/>
          <w:bCs/>
          <w:color w:val="auto"/>
          <w:kern w:val="12"/>
          <w:sz w:val="24"/>
          <w:szCs w:val="24"/>
        </w:rPr>
        <w:t>明</w:t>
      </w:r>
      <w:r>
        <w:rPr>
          <w:rFonts w:ascii="宋体" w:hAnsi="宋体"/>
          <w:bCs/>
          <w:color w:val="auto"/>
          <w:kern w:val="12"/>
          <w:sz w:val="24"/>
          <w:szCs w:val="24"/>
        </w:rPr>
        <w:t>书</w:t>
      </w:r>
      <w:r>
        <w:rPr>
          <w:rFonts w:hint="eastAsia" w:ascii="宋体" w:hAnsi="宋体"/>
          <w:bCs/>
          <w:color w:val="auto"/>
          <w:kern w:val="12"/>
          <w:sz w:val="24"/>
          <w:szCs w:val="24"/>
        </w:rPr>
        <w:t>。</w:t>
      </w:r>
    </w:p>
    <w:p w14:paraId="5E2E25C0">
      <w:pPr>
        <w:pStyle w:val="2"/>
        <w:ind w:firstLine="210"/>
        <w:rPr>
          <w:rFonts w:hint="default"/>
          <w:color w:val="auto"/>
        </w:rPr>
      </w:pPr>
    </w:p>
    <w:p w14:paraId="2962E720">
      <w:pPr>
        <w:widowControl/>
        <w:jc w:val="left"/>
        <w:rPr>
          <w:rFonts w:ascii="宋体" w:hAnsi="宋体"/>
          <w:b/>
          <w:bCs/>
          <w:color w:val="auto"/>
          <w:sz w:val="36"/>
          <w:szCs w:val="36"/>
        </w:rPr>
      </w:pPr>
      <w:r>
        <w:rPr>
          <w:rFonts w:ascii="宋体" w:hAnsi="宋体"/>
          <w:b/>
          <w:bCs/>
          <w:color w:val="auto"/>
          <w:sz w:val="36"/>
          <w:szCs w:val="36"/>
        </w:rPr>
        <w:br w:type="page"/>
      </w:r>
    </w:p>
    <w:p w14:paraId="0FC59BB9">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法定代表人（单位负责人）授权书</w:t>
      </w:r>
    </w:p>
    <w:p w14:paraId="6DB7A7E6">
      <w:pPr>
        <w:spacing w:line="480" w:lineRule="exact"/>
        <w:jc w:val="center"/>
        <w:rPr>
          <w:rFonts w:ascii="宋体" w:hAnsi="宋体"/>
          <w:b/>
          <w:bCs/>
          <w:color w:val="auto"/>
          <w:sz w:val="36"/>
          <w:szCs w:val="36"/>
        </w:rPr>
      </w:pPr>
    </w:p>
    <w:p w14:paraId="6B71280C">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本人</w:t>
      </w:r>
      <w:r>
        <w:rPr>
          <w:rFonts w:hint="eastAsia" w:ascii="宋体" w:hAnsi="宋体" w:eastAsia="宋体" w:cs="Times New Roman"/>
          <w:snapToGrid w:val="0"/>
          <w:color w:val="auto"/>
          <w:kern w:val="0"/>
          <w:sz w:val="24"/>
          <w:szCs w:val="24"/>
          <w:u w:val="single"/>
          <w:lang w:val="en-US" w:eastAsia="zh-CN" w:bidi="ar-SA"/>
        </w:rPr>
        <w:t>法人姓名</w:t>
      </w:r>
      <w:r>
        <w:rPr>
          <w:rFonts w:hint="eastAsia" w:ascii="宋体" w:hAnsi="宋体" w:cs="Arial"/>
          <w:color w:val="auto"/>
          <w:sz w:val="24"/>
          <w:szCs w:val="24"/>
        </w:rPr>
        <w:t>系</w:t>
      </w:r>
      <w:r>
        <w:rPr>
          <w:rFonts w:hint="eastAsia" w:ascii="宋体" w:hAnsi="宋体" w:eastAsia="宋体" w:cs="Times New Roman"/>
          <w:snapToGrid w:val="0"/>
          <w:color w:val="auto"/>
          <w:kern w:val="0"/>
          <w:sz w:val="24"/>
          <w:szCs w:val="24"/>
          <w:u w:val="single"/>
          <w:lang w:val="en-US" w:eastAsia="zh-CN" w:bidi="ar-SA"/>
        </w:rPr>
        <w:t xml:space="preserve">投标人名称 </w:t>
      </w:r>
      <w:r>
        <w:rPr>
          <w:rFonts w:hint="eastAsia" w:ascii="宋体" w:hAnsi="宋体"/>
          <w:i/>
          <w:snapToGrid w:val="0"/>
          <w:color w:val="auto"/>
          <w:sz w:val="24"/>
          <w:szCs w:val="24"/>
          <w:u w:val="single"/>
        </w:rPr>
        <w:t xml:space="preserve"> </w:t>
      </w:r>
      <w:r>
        <w:rPr>
          <w:rFonts w:hint="eastAsia" w:ascii="宋体" w:hAnsi="宋体" w:cs="Arial"/>
          <w:color w:val="auto"/>
          <w:sz w:val="24"/>
          <w:szCs w:val="24"/>
        </w:rPr>
        <w:t>的法定代表人，现委托</w:t>
      </w:r>
      <w:r>
        <w:rPr>
          <w:rFonts w:hint="eastAsia" w:ascii="宋体" w:hAnsi="宋体" w:eastAsia="宋体" w:cs="Times New Roman"/>
          <w:snapToGrid w:val="0"/>
          <w:color w:val="auto"/>
          <w:kern w:val="0"/>
          <w:sz w:val="24"/>
          <w:szCs w:val="24"/>
          <w:u w:val="single"/>
          <w:lang w:val="en-US" w:eastAsia="zh-CN" w:bidi="ar-SA"/>
        </w:rPr>
        <w:t>姓名，职务</w:t>
      </w:r>
      <w:r>
        <w:rPr>
          <w:rFonts w:hint="eastAsia" w:ascii="宋体" w:hAnsi="宋体" w:cs="Arial"/>
          <w:color w:val="auto"/>
          <w:sz w:val="24"/>
          <w:szCs w:val="24"/>
        </w:rPr>
        <w:t>以我方的名义参加贵方</w:t>
      </w:r>
      <w:r>
        <w:rPr>
          <w:rFonts w:hint="eastAsia" w:ascii="宋体" w:hAnsi="宋体" w:cs="Arial"/>
          <w:color w:val="auto"/>
          <w:sz w:val="24"/>
          <w:szCs w:val="24"/>
          <w:u w:val="single"/>
          <w:lang w:val="en-US" w:eastAsia="zh-CN"/>
        </w:rPr>
        <w:t xml:space="preserve">                    </w:t>
      </w:r>
      <w:r>
        <w:rPr>
          <w:rFonts w:hint="eastAsia" w:ascii="宋体" w:hAnsi="宋体" w:cs="Arial"/>
          <w:color w:val="auto"/>
          <w:sz w:val="24"/>
          <w:szCs w:val="24"/>
        </w:rPr>
        <w:t>项目的投标活动，并代表我方全权办理针对上述项目的投标、开标、投标文件澄清、签约等一切具体事务和签署相关文件。</w:t>
      </w:r>
    </w:p>
    <w:p w14:paraId="11094A74">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我方对被授权人的签名事项负全部责任。</w:t>
      </w:r>
    </w:p>
    <w:p w14:paraId="455D2BCC">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795A4045">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被授权人无转委托权，特此委托。</w:t>
      </w:r>
    </w:p>
    <w:p w14:paraId="44727978">
      <w:pPr>
        <w:spacing w:line="480" w:lineRule="auto"/>
        <w:ind w:firstLine="480" w:firstLineChars="200"/>
        <w:rPr>
          <w:rFonts w:ascii="宋体" w:hAnsi="宋体"/>
          <w:color w:val="auto"/>
          <w:sz w:val="24"/>
          <w:szCs w:val="24"/>
        </w:rPr>
      </w:pPr>
      <w:r>
        <w:rPr>
          <w:rFonts w:hint="eastAsia" w:ascii="宋体" w:hAnsi="宋体"/>
          <w:color w:val="auto"/>
          <w:sz w:val="24"/>
          <w:szCs w:val="24"/>
          <w:lang w:eastAsia="zh-CN"/>
        </w:rPr>
        <w:t>投标人</w:t>
      </w:r>
      <w:r>
        <w:rPr>
          <w:rFonts w:hint="eastAsia" w:ascii="宋体" w:hAnsi="宋体"/>
          <w:color w:val="auto"/>
          <w:sz w:val="24"/>
          <w:szCs w:val="24"/>
        </w:rPr>
        <w:t xml:space="preserve">名称： </w:t>
      </w:r>
      <w:r>
        <w:rPr>
          <w:rFonts w:hint="eastAsia" w:ascii="宋体" w:hAnsi="宋体"/>
          <w:color w:val="auto"/>
          <w:sz w:val="24"/>
          <w:szCs w:val="24"/>
          <w:u w:val="single"/>
        </w:rPr>
        <w:t xml:space="preserve">       （全称）       </w:t>
      </w:r>
      <w:r>
        <w:rPr>
          <w:rFonts w:hint="eastAsia" w:ascii="宋体" w:hAnsi="宋体"/>
          <w:color w:val="auto"/>
          <w:sz w:val="24"/>
          <w:szCs w:val="24"/>
        </w:rPr>
        <w:t xml:space="preserve"> （盖单位公章）</w:t>
      </w:r>
    </w:p>
    <w:p w14:paraId="6969DA0D">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法定代表人（单位负责人）：（签字或加盖名章）</w:t>
      </w:r>
    </w:p>
    <w:p w14:paraId="352122A2">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法定代表人（单位负责人）授权代表：（签字或加盖名章）</w:t>
      </w:r>
    </w:p>
    <w:p w14:paraId="6215D666">
      <w:pPr>
        <w:spacing w:line="480" w:lineRule="auto"/>
        <w:ind w:firstLine="480" w:firstLineChars="200"/>
        <w:rPr>
          <w:rFonts w:ascii="宋体" w:hAnsi="宋体"/>
          <w:color w:val="auto"/>
          <w:sz w:val="24"/>
          <w:szCs w:val="24"/>
          <w:u w:val="single"/>
        </w:rPr>
      </w:pPr>
      <w:r>
        <w:rPr>
          <w:rFonts w:hint="eastAsia" w:ascii="宋体" w:hAnsi="宋体"/>
          <w:color w:val="auto"/>
          <w:sz w:val="24"/>
          <w:szCs w:val="24"/>
        </w:rPr>
        <w:t>法定代表人（单位负责人）授权代表联系电话（手机）：</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442"/>
      </w:tblGrid>
      <w:tr w14:paraId="1CC0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450" w:type="dxa"/>
            <w:vAlign w:val="center"/>
          </w:tcPr>
          <w:p w14:paraId="57788AB0">
            <w:pPr>
              <w:rPr>
                <w:rFonts w:ascii="宋体" w:hAnsi="宋体"/>
                <w:color w:val="auto"/>
                <w:sz w:val="24"/>
                <w:szCs w:val="24"/>
              </w:rPr>
            </w:pPr>
            <w:r>
              <w:rPr>
                <w:rFonts w:hint="eastAsia" w:ascii="宋体" w:hAnsi="宋体"/>
                <w:color w:val="auto"/>
                <w:sz w:val="24"/>
                <w:szCs w:val="24"/>
              </w:rPr>
              <w:t>法定代表人（单位负责人）身份证（正面）</w:t>
            </w:r>
          </w:p>
        </w:tc>
        <w:tc>
          <w:tcPr>
            <w:tcW w:w="4442" w:type="dxa"/>
            <w:vAlign w:val="center"/>
          </w:tcPr>
          <w:p w14:paraId="6534F735">
            <w:pPr>
              <w:rPr>
                <w:rFonts w:ascii="宋体" w:hAnsi="宋体"/>
                <w:color w:val="auto"/>
                <w:sz w:val="24"/>
                <w:szCs w:val="24"/>
              </w:rPr>
            </w:pPr>
            <w:r>
              <w:rPr>
                <w:rFonts w:hint="eastAsia" w:ascii="宋体" w:hAnsi="宋体"/>
                <w:color w:val="auto"/>
                <w:sz w:val="24"/>
                <w:szCs w:val="24"/>
              </w:rPr>
              <w:t>法定代表人（单位负责人）身份证（反面）</w:t>
            </w:r>
          </w:p>
        </w:tc>
      </w:tr>
      <w:tr w14:paraId="0CA5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14:paraId="4E125D6B">
            <w:pPr>
              <w:rPr>
                <w:rFonts w:ascii="宋体" w:hAnsi="宋体"/>
                <w:color w:val="auto"/>
                <w:sz w:val="24"/>
                <w:szCs w:val="24"/>
              </w:rPr>
            </w:pPr>
            <w:r>
              <w:rPr>
                <w:rFonts w:hint="eastAsia" w:ascii="宋体" w:hAnsi="宋体"/>
                <w:color w:val="auto"/>
                <w:sz w:val="24"/>
                <w:szCs w:val="24"/>
              </w:rPr>
              <w:t>法定代表人（单位负责人）授权代表身份证（正面）</w:t>
            </w:r>
          </w:p>
        </w:tc>
        <w:tc>
          <w:tcPr>
            <w:tcW w:w="4442" w:type="dxa"/>
            <w:vAlign w:val="center"/>
          </w:tcPr>
          <w:p w14:paraId="3848C590">
            <w:pPr>
              <w:rPr>
                <w:rFonts w:ascii="宋体" w:hAnsi="宋体"/>
                <w:color w:val="auto"/>
                <w:sz w:val="24"/>
                <w:szCs w:val="24"/>
              </w:rPr>
            </w:pPr>
            <w:r>
              <w:rPr>
                <w:rFonts w:hint="eastAsia" w:ascii="宋体" w:hAnsi="宋体"/>
                <w:color w:val="auto"/>
                <w:sz w:val="24"/>
                <w:szCs w:val="24"/>
              </w:rPr>
              <w:t>法定代表人（单位负责人）授权代表身份证（反面）</w:t>
            </w:r>
          </w:p>
        </w:tc>
      </w:tr>
    </w:tbl>
    <w:p w14:paraId="4D8D9616">
      <w:pPr>
        <w:spacing w:line="320" w:lineRule="exact"/>
        <w:ind w:left="2" w:firstLine="357" w:firstLineChars="149"/>
        <w:rPr>
          <w:rFonts w:ascii="宋体" w:hAnsi="宋体" w:cs="Courier New"/>
          <w:color w:val="auto"/>
          <w:sz w:val="24"/>
          <w:szCs w:val="24"/>
        </w:rPr>
      </w:pPr>
    </w:p>
    <w:p w14:paraId="51DAD499">
      <w:pPr>
        <w:autoSpaceDE w:val="0"/>
        <w:autoSpaceDN w:val="0"/>
        <w:adjustRightInd w:val="0"/>
        <w:spacing w:line="360" w:lineRule="auto"/>
        <w:jc w:val="center"/>
        <w:outlineLvl w:val="0"/>
        <w:rPr>
          <w:rFonts w:hint="eastAsia" w:ascii="宋体" w:hAnsi="宋体"/>
          <w:b/>
          <w:bCs/>
          <w:color w:val="auto"/>
          <w:sz w:val="36"/>
          <w:szCs w:val="36"/>
        </w:rPr>
      </w:pPr>
    </w:p>
    <w:p w14:paraId="47E6D118">
      <w:pPr>
        <w:widowControl/>
        <w:jc w:val="right"/>
        <w:rPr>
          <w:rFonts w:ascii="宋体" w:hAnsi="宋体"/>
          <w:b/>
          <w:bCs/>
          <w:color w:val="auto"/>
          <w:sz w:val="36"/>
          <w:szCs w:val="36"/>
        </w:rPr>
      </w:pPr>
      <w:r>
        <w:rPr>
          <w:rFonts w:ascii="宋体" w:hAnsi="宋体"/>
          <w:b/>
          <w:bCs/>
          <w:color w:val="auto"/>
          <w:sz w:val="36"/>
          <w:szCs w:val="36"/>
        </w:rPr>
        <w:br w:type="page"/>
      </w:r>
    </w:p>
    <w:p w14:paraId="2E024A71">
      <w:pPr>
        <w:widowControl/>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4</w:t>
      </w:r>
      <w:r>
        <w:rPr>
          <w:rFonts w:hint="eastAsia" w:ascii="宋体" w:hAnsi="宋体"/>
          <w:b/>
          <w:bCs/>
          <w:color w:val="auto"/>
          <w:sz w:val="36"/>
          <w:szCs w:val="36"/>
        </w:rPr>
        <w:t xml:space="preserve"> 投标承诺函</w:t>
      </w:r>
    </w:p>
    <w:p w14:paraId="0193B1E8">
      <w:pPr>
        <w:pStyle w:val="37"/>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本公司郑重承诺：</w:t>
      </w:r>
    </w:p>
    <w:p w14:paraId="4FAE0D3F">
      <w:pPr>
        <w:pStyle w:val="37"/>
        <w:shd w:val="clear" w:color="auto" w:fill="FFFFFF"/>
        <w:spacing w:before="0" w:beforeAutospacing="0" w:after="0" w:afterAutospacing="0" w:line="520" w:lineRule="exact"/>
        <w:ind w:firstLine="480" w:firstLineChars="200"/>
        <w:rPr>
          <w:rFonts w:ascii="宋体"/>
          <w:color w:val="auto"/>
          <w:u w:val="single"/>
        </w:rPr>
      </w:pPr>
      <w:r>
        <w:rPr>
          <w:rFonts w:hint="eastAsia" w:ascii="宋体"/>
          <w:color w:val="auto"/>
        </w:rPr>
        <w:t>一、将遵循公开、公平、公正和诚实信用的原则参加</w:t>
      </w:r>
      <w:r>
        <w:rPr>
          <w:rFonts w:ascii="宋体" w:hAnsi="宋体" w:eastAsia="宋体" w:cs="宋体"/>
          <w:color w:val="auto"/>
          <w:szCs w:val="21"/>
          <w:highlight w:val="none"/>
          <w:lang w:val="zh-CN"/>
        </w:rPr>
        <w:t>____年____月____日</w:t>
      </w:r>
      <w:r>
        <w:rPr>
          <w:rFonts w:hint="eastAsia" w:ascii="宋体"/>
          <w:color w:val="auto"/>
          <w:u w:val="single"/>
        </w:rPr>
        <w:t>(采购项目名称)</w:t>
      </w:r>
      <w:r>
        <w:rPr>
          <w:rFonts w:hint="eastAsia" w:ascii="宋体"/>
          <w:color w:val="auto"/>
        </w:rPr>
        <w:t>的投标；</w:t>
      </w:r>
    </w:p>
    <w:p w14:paraId="0BE80E91">
      <w:pPr>
        <w:pStyle w:val="37"/>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二、本次投标所提供的一切材料均真实、有效、合法；</w:t>
      </w:r>
    </w:p>
    <w:p w14:paraId="4BA13707">
      <w:pPr>
        <w:pStyle w:val="37"/>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三、不与其他</w:t>
      </w:r>
      <w:r>
        <w:rPr>
          <w:rFonts w:hint="eastAsia" w:ascii="宋体"/>
          <w:color w:val="auto"/>
          <w:lang w:eastAsia="zh-CN"/>
        </w:rPr>
        <w:t>投标人</w:t>
      </w:r>
      <w:r>
        <w:rPr>
          <w:rFonts w:hint="eastAsia" w:ascii="宋体"/>
          <w:color w:val="auto"/>
        </w:rPr>
        <w:t>相互串通投标报价，不排挤其他</w:t>
      </w:r>
      <w:r>
        <w:rPr>
          <w:rFonts w:hint="eastAsia" w:ascii="宋体"/>
          <w:color w:val="auto"/>
          <w:lang w:eastAsia="zh-CN"/>
        </w:rPr>
        <w:t>投标人</w:t>
      </w:r>
      <w:r>
        <w:rPr>
          <w:rFonts w:hint="eastAsia" w:ascii="宋体"/>
          <w:color w:val="auto"/>
        </w:rPr>
        <w:t>的公平竞争，不损害采购人或其他</w:t>
      </w:r>
      <w:r>
        <w:rPr>
          <w:rFonts w:hint="eastAsia" w:ascii="宋体"/>
          <w:color w:val="auto"/>
          <w:lang w:eastAsia="zh-CN"/>
        </w:rPr>
        <w:t>投标人</w:t>
      </w:r>
      <w:r>
        <w:rPr>
          <w:rFonts w:hint="eastAsia" w:ascii="宋体"/>
          <w:color w:val="auto"/>
        </w:rPr>
        <w:t>的合法权益；</w:t>
      </w:r>
    </w:p>
    <w:p w14:paraId="7FDC3B50">
      <w:pPr>
        <w:pStyle w:val="37"/>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四、不与采购人或集中采购机构串通投标，不损害国家利益、社会公共利益或者他人的合法权益；</w:t>
      </w:r>
    </w:p>
    <w:p w14:paraId="7429B384">
      <w:pPr>
        <w:pStyle w:val="37"/>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宋体"/>
          <w:color w:val="auto"/>
        </w:rPr>
        <w:t>评标</w:t>
      </w:r>
      <w:r>
        <w:rPr>
          <w:rFonts w:hint="eastAsia" w:ascii="宋体"/>
          <w:color w:val="auto"/>
        </w:rPr>
        <w:fldChar w:fldCharType="end"/>
      </w:r>
      <w:r>
        <w:rPr>
          <w:rFonts w:hint="eastAsia" w:ascii="宋体"/>
          <w:color w:val="auto"/>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宋体"/>
          <w:color w:val="auto"/>
        </w:rPr>
        <w:t>中标</w:t>
      </w:r>
      <w:r>
        <w:rPr>
          <w:rFonts w:hint="eastAsia" w:ascii="宋体"/>
          <w:color w:val="auto"/>
        </w:rPr>
        <w:fldChar w:fldCharType="end"/>
      </w:r>
      <w:r>
        <w:rPr>
          <w:rFonts w:hint="eastAsia" w:ascii="宋体"/>
          <w:color w:val="auto"/>
        </w:rPr>
        <w:t>；</w:t>
      </w:r>
    </w:p>
    <w:p w14:paraId="03248A18">
      <w:pPr>
        <w:pStyle w:val="37"/>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六、不以他人名义投标或者以其他方式弄虚作假，骗取中标；</w:t>
      </w:r>
    </w:p>
    <w:p w14:paraId="44B78C39">
      <w:pPr>
        <w:pStyle w:val="37"/>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七、不扰乱建安区政府采购市场秩序；</w:t>
      </w:r>
    </w:p>
    <w:p w14:paraId="7616F030">
      <w:pPr>
        <w:pStyle w:val="37"/>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宋体"/>
          <w:color w:val="auto"/>
        </w:rPr>
        <w:t>开标</w:t>
      </w:r>
      <w:r>
        <w:rPr>
          <w:rFonts w:hint="eastAsia" w:ascii="宋体"/>
          <w:color w:val="auto"/>
        </w:rPr>
        <w:fldChar w:fldCharType="end"/>
      </w:r>
      <w:r>
        <w:rPr>
          <w:rFonts w:hint="eastAsia" w:ascii="宋体"/>
          <w:color w:val="auto"/>
        </w:rPr>
        <w:t>后进行虚假恶意投诉；</w:t>
      </w:r>
    </w:p>
    <w:p w14:paraId="4AE2EFCF">
      <w:pPr>
        <w:pStyle w:val="37"/>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ascii="宋体"/>
          <w:color w:val="auto"/>
        </w:rPr>
        <w:t>招标文件</w:t>
      </w:r>
      <w:r>
        <w:rPr>
          <w:rFonts w:hint="eastAsia" w:ascii="宋体"/>
          <w:color w:val="auto"/>
        </w:rPr>
        <w:fldChar w:fldCharType="end"/>
      </w:r>
      <w:r>
        <w:rPr>
          <w:rFonts w:hint="eastAsia" w:ascii="宋体"/>
          <w:color w:val="auto"/>
        </w:rPr>
        <w:t>规定不予转包、分包的项目转包、分包于他人。</w:t>
      </w:r>
    </w:p>
    <w:p w14:paraId="5BA8EB7E">
      <w:pPr>
        <w:pStyle w:val="37"/>
        <w:shd w:val="clear" w:color="auto" w:fill="FFFFFF"/>
        <w:spacing w:before="0" w:beforeAutospacing="0" w:after="0" w:afterAutospacing="0" w:line="520" w:lineRule="exact"/>
        <w:ind w:firstLine="480" w:firstLineChars="200"/>
        <w:rPr>
          <w:color w:val="auto"/>
        </w:rPr>
      </w:pPr>
      <w:r>
        <w:rPr>
          <w:rFonts w:hint="eastAsia"/>
          <w:color w:val="auto"/>
        </w:rPr>
        <w:t>十、我方一旦中标，将严格按照投标文件中所承诺的报价、质量、工期、实施方案、服务承诺等内容组织实施。</w:t>
      </w:r>
    </w:p>
    <w:p w14:paraId="6646F69C">
      <w:pPr>
        <w:pStyle w:val="37"/>
        <w:shd w:val="clear" w:color="auto" w:fill="FFFFFF"/>
        <w:spacing w:before="0" w:beforeAutospacing="0" w:after="0" w:afterAutospacing="0" w:line="520" w:lineRule="exact"/>
        <w:ind w:firstLine="480" w:firstLineChars="200"/>
        <w:rPr>
          <w:rFonts w:ascii="宋体"/>
          <w:color w:val="auto"/>
        </w:rPr>
      </w:pPr>
      <w:r>
        <w:rPr>
          <w:rFonts w:hint="eastAsia" w:ascii="宋体"/>
          <w:color w:val="auto"/>
        </w:rPr>
        <w:t>本公司若有违反本承诺内容的行为，愿意承担法律责任，并接受相关处罚，包括：愿意接受相关行政主管部门作出的处罚、列入不良行为记录（黑名单）、限制交易和停止交易等市场准入与清出的处理。</w:t>
      </w:r>
    </w:p>
    <w:p w14:paraId="2FDE558C">
      <w:pPr>
        <w:pStyle w:val="37"/>
        <w:shd w:val="clear" w:color="auto" w:fill="FFFFFF"/>
        <w:spacing w:after="300" w:line="336" w:lineRule="atLeast"/>
        <w:rPr>
          <w:rFonts w:ascii="宋体"/>
          <w:color w:val="auto"/>
        </w:rPr>
      </w:pPr>
    </w:p>
    <w:p w14:paraId="08585197">
      <w:pPr>
        <w:pStyle w:val="37"/>
        <w:shd w:val="clear" w:color="auto" w:fill="FFFFFF"/>
        <w:spacing w:after="300" w:line="336" w:lineRule="atLeast"/>
        <w:rPr>
          <w:rFonts w:ascii="宋体"/>
          <w:color w:val="auto"/>
        </w:rPr>
      </w:pPr>
      <w:r>
        <w:rPr>
          <w:rFonts w:hint="eastAsia" w:ascii="宋体"/>
          <w:color w:val="auto"/>
        </w:rPr>
        <w:t xml:space="preserve">                 法定代表人（单位负责人）或授权代表</w:t>
      </w:r>
      <w:r>
        <w:rPr>
          <w:rFonts w:hint="eastAsia" w:ascii="宋体"/>
          <w:color w:val="auto"/>
          <w:lang w:val="zh-CN"/>
        </w:rPr>
        <w:t>（签字或盖章）：</w:t>
      </w:r>
    </w:p>
    <w:p w14:paraId="19FEF694">
      <w:pPr>
        <w:pStyle w:val="37"/>
        <w:shd w:val="clear" w:color="auto" w:fill="FFFFFF"/>
        <w:spacing w:after="300" w:line="336" w:lineRule="atLeast"/>
        <w:rPr>
          <w:rFonts w:ascii="宋体"/>
          <w:color w:val="auto"/>
        </w:rPr>
      </w:pPr>
      <w:r>
        <w:rPr>
          <w:rFonts w:hint="eastAsia" w:ascii="宋体"/>
          <w:color w:val="auto"/>
        </w:rPr>
        <w:t xml:space="preserve">                 </w:t>
      </w:r>
      <w:r>
        <w:rPr>
          <w:rFonts w:hint="eastAsia" w:ascii="宋体"/>
          <w:color w:val="auto"/>
          <w:lang w:val="en-US" w:eastAsia="zh-CN"/>
        </w:rPr>
        <w:t>投标人</w:t>
      </w:r>
      <w:r>
        <w:rPr>
          <w:rFonts w:hint="eastAsia" w:ascii="宋体"/>
          <w:color w:val="auto"/>
        </w:rPr>
        <w:t>名称(盖章)：</w:t>
      </w:r>
    </w:p>
    <w:p w14:paraId="4DBBAB1E">
      <w:pPr>
        <w:pStyle w:val="37"/>
        <w:shd w:val="clear" w:color="auto" w:fill="FFFFFF"/>
        <w:spacing w:after="300" w:line="336" w:lineRule="atLeast"/>
        <w:rPr>
          <w:rFonts w:ascii="宋体"/>
          <w:color w:val="auto"/>
        </w:rPr>
      </w:pPr>
      <w:r>
        <w:rPr>
          <w:rFonts w:hint="eastAsia" w:ascii="宋体"/>
          <w:color w:val="auto"/>
        </w:rPr>
        <w:t xml:space="preserve">                 日期：       年   月   日</w:t>
      </w:r>
    </w:p>
    <w:p w14:paraId="2D40012D">
      <w:pPr>
        <w:autoSpaceDE w:val="0"/>
        <w:autoSpaceDN w:val="0"/>
        <w:adjustRightInd w:val="0"/>
        <w:spacing w:line="360" w:lineRule="auto"/>
        <w:jc w:val="center"/>
        <w:outlineLvl w:val="0"/>
        <w:rPr>
          <w:rFonts w:hint="eastAsia" w:ascii="宋体" w:hAnsi="宋体"/>
          <w:b/>
          <w:bCs/>
          <w:color w:val="auto"/>
          <w:sz w:val="36"/>
          <w:szCs w:val="36"/>
        </w:rPr>
      </w:pPr>
    </w:p>
    <w:p w14:paraId="1B45A6DA">
      <w:pPr>
        <w:autoSpaceDE w:val="0"/>
        <w:autoSpaceDN w:val="0"/>
        <w:adjustRightInd w:val="0"/>
        <w:spacing w:line="360" w:lineRule="auto"/>
        <w:jc w:val="center"/>
        <w:outlineLvl w:val="0"/>
        <w:rPr>
          <w:rFonts w:hint="eastAsia" w:ascii="宋体" w:hAnsi="宋体"/>
          <w:b/>
          <w:bCs/>
          <w:color w:val="auto"/>
          <w:sz w:val="36"/>
          <w:szCs w:val="36"/>
        </w:rPr>
      </w:pPr>
    </w:p>
    <w:p w14:paraId="005D9194">
      <w:pPr>
        <w:autoSpaceDE w:val="0"/>
        <w:autoSpaceDN w:val="0"/>
        <w:adjustRightInd w:val="0"/>
        <w:spacing w:line="360" w:lineRule="auto"/>
        <w:jc w:val="center"/>
        <w:outlineLvl w:val="0"/>
        <w:rPr>
          <w:rFonts w:ascii="宋体" w:hAnsi="宋体"/>
          <w:color w:val="auto"/>
        </w:rPr>
      </w:pPr>
      <w:r>
        <w:rPr>
          <w:rFonts w:hint="eastAsia" w:ascii="宋体" w:hAnsi="宋体"/>
          <w:b/>
          <w:bCs/>
          <w:color w:val="auto"/>
          <w:sz w:val="36"/>
          <w:szCs w:val="36"/>
        </w:rPr>
        <w:t>3.</w:t>
      </w:r>
      <w:r>
        <w:rPr>
          <w:rFonts w:hint="eastAsia" w:ascii="宋体" w:hAnsi="宋体"/>
          <w:b/>
          <w:bCs/>
          <w:color w:val="auto"/>
          <w:sz w:val="36"/>
          <w:szCs w:val="36"/>
          <w:lang w:val="en-US" w:eastAsia="zh-CN"/>
        </w:rPr>
        <w:t>5</w:t>
      </w:r>
      <w:r>
        <w:rPr>
          <w:rFonts w:hint="eastAsia" w:ascii="宋体" w:hAnsi="宋体"/>
          <w:b/>
          <w:bCs/>
          <w:color w:val="auto"/>
          <w:sz w:val="36"/>
          <w:szCs w:val="36"/>
        </w:rPr>
        <w:t xml:space="preserve"> 许昌市建安区政府采购</w:t>
      </w:r>
      <w:r>
        <w:rPr>
          <w:rFonts w:hint="eastAsia" w:ascii="宋体" w:hAnsi="宋体"/>
          <w:b/>
          <w:bCs/>
          <w:color w:val="auto"/>
          <w:sz w:val="36"/>
          <w:szCs w:val="36"/>
          <w:lang w:val="en-US" w:eastAsia="zh-CN"/>
        </w:rPr>
        <w:t>供应商</w:t>
      </w:r>
      <w:r>
        <w:rPr>
          <w:rFonts w:hint="eastAsia" w:ascii="宋体" w:hAnsi="宋体"/>
          <w:b/>
          <w:bCs/>
          <w:color w:val="auto"/>
          <w:sz w:val="36"/>
          <w:szCs w:val="36"/>
        </w:rPr>
        <w:t>信用承诺函</w:t>
      </w:r>
    </w:p>
    <w:p w14:paraId="5C5E7F17">
      <w:pPr>
        <w:rPr>
          <w:rFonts w:ascii="仿宋_GB2312" w:hAnsi="仿宋_GB2312" w:eastAsia="仿宋_GB2312" w:cs="仿宋_GB2312"/>
          <w:color w:val="auto"/>
          <w:sz w:val="32"/>
          <w:szCs w:val="32"/>
        </w:rPr>
      </w:pPr>
    </w:p>
    <w:p w14:paraId="1C36BA11">
      <w:pPr>
        <w:spacing w:line="560" w:lineRule="exact"/>
        <w:rPr>
          <w:rFonts w:ascii="宋体" w:hAnsi="宋体" w:cs="仿宋_GB2312"/>
          <w:color w:val="auto"/>
          <w:sz w:val="24"/>
          <w:szCs w:val="24"/>
        </w:rPr>
      </w:pPr>
      <w:r>
        <w:rPr>
          <w:rFonts w:hint="eastAsia" w:ascii="宋体" w:hAnsi="宋体" w:cs="仿宋_GB2312"/>
          <w:color w:val="auto"/>
          <w:sz w:val="24"/>
          <w:szCs w:val="24"/>
        </w:rPr>
        <w:t>致</w:t>
      </w:r>
      <w:r>
        <w:rPr>
          <w:rFonts w:hint="eastAsia" w:ascii="宋体" w:hAnsi="宋体" w:cs="仿宋_GB2312"/>
          <w:color w:val="auto"/>
          <w:sz w:val="24"/>
          <w:szCs w:val="24"/>
          <w:u w:val="single"/>
        </w:rPr>
        <w:t>（采购人）</w:t>
      </w:r>
      <w:r>
        <w:rPr>
          <w:rFonts w:hint="eastAsia" w:ascii="宋体" w:hAnsi="宋体" w:cs="仿宋_GB2312"/>
          <w:color w:val="auto"/>
          <w:sz w:val="24"/>
          <w:szCs w:val="24"/>
        </w:rPr>
        <w:t>：</w:t>
      </w:r>
    </w:p>
    <w:p w14:paraId="4410C37A">
      <w:pPr>
        <w:spacing w:line="560" w:lineRule="exact"/>
        <w:ind w:firstLine="436" w:firstLineChars="200"/>
        <w:rPr>
          <w:rFonts w:ascii="宋体" w:hAnsi="宋体" w:cs="仿宋_GB2312"/>
          <w:color w:val="auto"/>
          <w:spacing w:val="-11"/>
          <w:sz w:val="24"/>
          <w:szCs w:val="24"/>
          <w:u w:val="single"/>
        </w:rPr>
      </w:pPr>
      <w:r>
        <w:rPr>
          <w:rFonts w:hint="eastAsia" w:ascii="宋体" w:hAnsi="宋体" w:cs="仿宋_GB2312"/>
          <w:color w:val="auto"/>
          <w:spacing w:val="-11"/>
          <w:sz w:val="24"/>
          <w:szCs w:val="24"/>
        </w:rPr>
        <w:t>单位名称（自然人姓名）:</w:t>
      </w:r>
    </w:p>
    <w:p w14:paraId="5EC8AFF5">
      <w:pPr>
        <w:spacing w:line="560" w:lineRule="exact"/>
        <w:ind w:firstLine="436" w:firstLineChars="200"/>
        <w:rPr>
          <w:rFonts w:ascii="宋体" w:hAnsi="宋体" w:cs="仿宋_GB2312"/>
          <w:color w:val="auto"/>
          <w:spacing w:val="-11"/>
          <w:sz w:val="24"/>
          <w:szCs w:val="24"/>
          <w:u w:val="single"/>
        </w:rPr>
      </w:pPr>
      <w:r>
        <w:rPr>
          <w:rFonts w:hint="eastAsia" w:ascii="宋体" w:hAnsi="宋体" w:cs="仿宋_GB2312"/>
          <w:color w:val="auto"/>
          <w:spacing w:val="-11"/>
          <w:sz w:val="24"/>
          <w:szCs w:val="24"/>
        </w:rPr>
        <w:t>统一社会信用代码（身份证号码）:</w:t>
      </w:r>
    </w:p>
    <w:p w14:paraId="71AE8038">
      <w:pPr>
        <w:spacing w:line="560" w:lineRule="exact"/>
        <w:ind w:firstLine="436" w:firstLineChars="200"/>
        <w:rPr>
          <w:rFonts w:ascii="宋体" w:hAnsi="宋体" w:cs="仿宋_GB2312"/>
          <w:color w:val="auto"/>
          <w:spacing w:val="-11"/>
          <w:sz w:val="24"/>
          <w:szCs w:val="24"/>
          <w:u w:val="single"/>
        </w:rPr>
      </w:pPr>
      <w:r>
        <w:rPr>
          <w:rFonts w:hint="eastAsia" w:ascii="宋体" w:hAnsi="宋体" w:cs="仿宋_GB2312"/>
          <w:color w:val="auto"/>
          <w:spacing w:val="-11"/>
          <w:sz w:val="24"/>
          <w:szCs w:val="24"/>
        </w:rPr>
        <w:t>法定代表人（负责人）:</w:t>
      </w:r>
    </w:p>
    <w:p w14:paraId="1BABE6C0">
      <w:pPr>
        <w:spacing w:line="560" w:lineRule="exact"/>
        <w:ind w:firstLine="436" w:firstLineChars="200"/>
        <w:rPr>
          <w:rFonts w:ascii="宋体" w:hAnsi="宋体" w:cs="仿宋_GB2312"/>
          <w:color w:val="auto"/>
          <w:spacing w:val="-11"/>
          <w:sz w:val="24"/>
          <w:szCs w:val="24"/>
          <w:u w:val="single"/>
        </w:rPr>
      </w:pPr>
      <w:r>
        <w:rPr>
          <w:rFonts w:hint="eastAsia" w:ascii="宋体" w:hAnsi="宋体" w:cs="仿宋_GB2312"/>
          <w:color w:val="auto"/>
          <w:spacing w:val="-11"/>
          <w:sz w:val="24"/>
          <w:szCs w:val="24"/>
        </w:rPr>
        <w:t>联系地址和电话：</w:t>
      </w:r>
    </w:p>
    <w:p w14:paraId="1EE0D225">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为维护公平、公正、公开的政府采购市场秩序，树立诚实守信的政府采购</w:t>
      </w:r>
      <w:r>
        <w:rPr>
          <w:rFonts w:hint="eastAsia" w:ascii="宋体" w:hAnsi="宋体" w:cs="仿宋_GB2312"/>
          <w:color w:val="auto"/>
          <w:spacing w:val="-11"/>
          <w:sz w:val="24"/>
          <w:szCs w:val="24"/>
          <w:lang w:val="en-US" w:eastAsia="zh-CN"/>
        </w:rPr>
        <w:t>供应商</w:t>
      </w:r>
      <w:r>
        <w:rPr>
          <w:rFonts w:hint="eastAsia" w:ascii="宋体" w:hAnsi="宋体" w:cs="仿宋_GB2312"/>
          <w:color w:val="auto"/>
          <w:spacing w:val="-11"/>
          <w:sz w:val="24"/>
          <w:szCs w:val="24"/>
        </w:rPr>
        <w:t>形象，我单位（本人）自愿作出以下承诺：</w:t>
      </w:r>
    </w:p>
    <w:p w14:paraId="3D36310B">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A708D3C">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（一）具有独立承担民事责任的能力；</w:t>
      </w:r>
    </w:p>
    <w:p w14:paraId="1A47C6AE">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（二）具有良好的商业信誉和健全的财务会计制度；</w:t>
      </w:r>
    </w:p>
    <w:p w14:paraId="0B8FC75F">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（三）具有履行合同所必需的设备和专业技术能力；</w:t>
      </w:r>
    </w:p>
    <w:p w14:paraId="2F815192">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（四）有依法缴纳税收和社会保障资金的良好记录；</w:t>
      </w:r>
    </w:p>
    <w:p w14:paraId="4B6EE006">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（五）参加政府采购活动前三年内，在经营活动中没有重大违法记录；</w:t>
      </w:r>
    </w:p>
    <w:p w14:paraId="1BB8AA25">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（六）未被列入经营异常名录或者严重违法失信名单、失信被执行人，重大税收违法案件当事人名单、政府采购严重违法失信行为记录名单；</w:t>
      </w:r>
    </w:p>
    <w:p w14:paraId="74935F12">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（七）未被相关监管部门作出行政处罚且尚在处罚有效期的；</w:t>
      </w:r>
    </w:p>
    <w:p w14:paraId="4750AE9A">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（八）未曾作出虚假采购承诺；</w:t>
      </w:r>
    </w:p>
    <w:p w14:paraId="62D1FD7E">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（九）符合法律、行政法规规定的其他条件。</w:t>
      </w:r>
    </w:p>
    <w:p w14:paraId="69309729">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B23E36">
      <w:pPr>
        <w:spacing w:line="560" w:lineRule="exact"/>
        <w:ind w:firstLine="436" w:firstLineChars="200"/>
        <w:rPr>
          <w:rFonts w:ascii="宋体" w:hAnsi="宋体" w:cs="仿宋_GB2312"/>
          <w:color w:val="auto"/>
          <w:spacing w:val="-11"/>
          <w:sz w:val="24"/>
          <w:szCs w:val="24"/>
        </w:rPr>
      </w:pPr>
    </w:p>
    <w:p w14:paraId="6F713E1B">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lang w:val="en-US" w:eastAsia="zh-CN"/>
        </w:rPr>
        <w:t>供应商</w:t>
      </w:r>
      <w:r>
        <w:rPr>
          <w:rFonts w:hint="eastAsia" w:ascii="宋体" w:hAnsi="宋体" w:cs="仿宋_GB2312"/>
          <w:color w:val="auto"/>
          <w:spacing w:val="-11"/>
          <w:sz w:val="24"/>
          <w:szCs w:val="24"/>
        </w:rPr>
        <w:t>（电子章）:</w:t>
      </w:r>
    </w:p>
    <w:p w14:paraId="16F2B505">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法定代表人、负责人、本人、或授权代表（签字或电子印章）:</w:t>
      </w:r>
    </w:p>
    <w:p w14:paraId="0995E49A">
      <w:pPr>
        <w:spacing w:line="560" w:lineRule="exact"/>
        <w:ind w:firstLine="436" w:firstLineChars="200"/>
        <w:rPr>
          <w:rFonts w:ascii="宋体" w:hAnsi="宋体" w:cs="仿宋_GB2312"/>
          <w:color w:val="auto"/>
          <w:spacing w:val="-11"/>
          <w:sz w:val="24"/>
          <w:szCs w:val="24"/>
        </w:rPr>
      </w:pPr>
      <w:r>
        <w:rPr>
          <w:rFonts w:hint="eastAsia" w:ascii="宋体" w:hAnsi="宋体" w:cs="仿宋_GB2312"/>
          <w:color w:val="auto"/>
          <w:spacing w:val="-11"/>
          <w:sz w:val="24"/>
          <w:szCs w:val="24"/>
        </w:rPr>
        <w:t>日期：    年  月  日</w:t>
      </w:r>
    </w:p>
    <w:p w14:paraId="6837850E">
      <w:pPr>
        <w:spacing w:line="560" w:lineRule="exact"/>
        <w:rPr>
          <w:rFonts w:ascii="仿宋_GB2312" w:hAnsi="仿宋_GB2312" w:eastAsia="仿宋_GB2312" w:cs="仿宋_GB2312"/>
          <w:color w:val="auto"/>
          <w:sz w:val="32"/>
          <w:szCs w:val="32"/>
        </w:rPr>
      </w:pPr>
    </w:p>
    <w:p w14:paraId="1969B357">
      <w:pPr>
        <w:spacing w:line="560" w:lineRule="exact"/>
        <w:rPr>
          <w:rFonts w:ascii="华文仿宋" w:hAnsi="华文仿宋" w:eastAsia="华文仿宋" w:cs="华文仿宋"/>
          <w:color w:val="auto"/>
          <w:szCs w:val="21"/>
        </w:rPr>
      </w:pPr>
    </w:p>
    <w:p w14:paraId="24AA57C5">
      <w:pPr>
        <w:spacing w:line="560" w:lineRule="exact"/>
        <w:rPr>
          <w:rFonts w:ascii="宋体" w:hAnsi="宋体" w:cs="华文仿宋"/>
          <w:b/>
          <w:bCs/>
          <w:color w:val="auto"/>
          <w:sz w:val="24"/>
          <w:szCs w:val="24"/>
        </w:rPr>
      </w:pPr>
      <w:r>
        <w:rPr>
          <w:rFonts w:hint="eastAsia" w:ascii="宋体" w:hAnsi="宋体" w:cs="华文仿宋"/>
          <w:b/>
          <w:bCs/>
          <w:color w:val="auto"/>
          <w:sz w:val="24"/>
          <w:szCs w:val="24"/>
        </w:rPr>
        <w:t>注：1.</w:t>
      </w:r>
      <w:r>
        <w:rPr>
          <w:rFonts w:hint="eastAsia" w:ascii="宋体" w:hAnsi="宋体" w:cs="华文仿宋"/>
          <w:b/>
          <w:bCs/>
          <w:color w:val="auto"/>
          <w:sz w:val="24"/>
          <w:szCs w:val="24"/>
          <w:lang w:val="en-US" w:eastAsia="zh-CN"/>
        </w:rPr>
        <w:t>投标人</w:t>
      </w:r>
      <w:r>
        <w:rPr>
          <w:rFonts w:hint="eastAsia" w:ascii="宋体" w:hAnsi="宋体" w:cs="华文仿宋"/>
          <w:b/>
          <w:bCs/>
          <w:color w:val="auto"/>
          <w:sz w:val="24"/>
          <w:szCs w:val="24"/>
        </w:rPr>
        <w:t>须在投标文件中按此模板提供承诺函，未提供视为未实质性响应招标文件要求，按无效投标处理。</w:t>
      </w:r>
    </w:p>
    <w:p w14:paraId="44063484">
      <w:pPr>
        <w:spacing w:line="560" w:lineRule="exact"/>
        <w:rPr>
          <w:rFonts w:ascii="宋体" w:hAnsi="宋体" w:cs="华文仿宋"/>
          <w:b/>
          <w:bCs/>
          <w:color w:val="auto"/>
          <w:sz w:val="24"/>
          <w:szCs w:val="24"/>
        </w:rPr>
      </w:pPr>
      <w:r>
        <w:rPr>
          <w:rFonts w:hint="eastAsia" w:ascii="宋体" w:hAnsi="宋体" w:cs="华文仿宋"/>
          <w:b/>
          <w:bCs/>
          <w:color w:val="auto"/>
          <w:sz w:val="24"/>
          <w:szCs w:val="24"/>
        </w:rPr>
        <w:t>2.</w:t>
      </w:r>
      <w:r>
        <w:rPr>
          <w:rFonts w:hint="eastAsia" w:ascii="宋体" w:hAnsi="宋体" w:cs="华文仿宋"/>
          <w:b/>
          <w:bCs/>
          <w:color w:val="auto"/>
          <w:sz w:val="24"/>
          <w:szCs w:val="24"/>
          <w:lang w:val="en-US" w:eastAsia="zh-CN"/>
        </w:rPr>
        <w:t>投标人</w:t>
      </w:r>
      <w:r>
        <w:rPr>
          <w:rFonts w:hint="eastAsia" w:ascii="宋体" w:hAnsi="宋体" w:cs="华文仿宋"/>
          <w:b/>
          <w:bCs/>
          <w:color w:val="auto"/>
          <w:sz w:val="24"/>
          <w:szCs w:val="24"/>
        </w:rPr>
        <w:t>的法定代表人或者授权代表的签字或盖章应真实、有效，如由授权代表签字或盖章的，应提供“法定代表人授权书”。</w:t>
      </w:r>
    </w:p>
    <w:p w14:paraId="0CEE5351">
      <w:pPr>
        <w:rPr>
          <w:color w:val="auto"/>
        </w:rPr>
      </w:pPr>
    </w:p>
    <w:p w14:paraId="0C0C26D8">
      <w:pPr>
        <w:pStyle w:val="2"/>
        <w:ind w:firstLine="361"/>
        <w:jc w:val="center"/>
        <w:rPr>
          <w:rFonts w:hint="default" w:ascii="宋体"/>
          <w:b/>
          <w:bCs/>
          <w:color w:val="auto"/>
          <w:sz w:val="36"/>
          <w:szCs w:val="36"/>
        </w:rPr>
      </w:pPr>
    </w:p>
    <w:p w14:paraId="03B57DD3">
      <w:pPr>
        <w:pStyle w:val="2"/>
        <w:ind w:firstLine="361"/>
        <w:jc w:val="center"/>
        <w:rPr>
          <w:rFonts w:hint="default" w:ascii="宋体"/>
          <w:b/>
          <w:bCs/>
          <w:color w:val="auto"/>
          <w:sz w:val="36"/>
          <w:szCs w:val="36"/>
        </w:rPr>
      </w:pPr>
    </w:p>
    <w:p w14:paraId="5DC96412">
      <w:pPr>
        <w:pStyle w:val="2"/>
        <w:ind w:firstLine="361"/>
        <w:jc w:val="center"/>
        <w:rPr>
          <w:rFonts w:hint="default" w:ascii="宋体"/>
          <w:b/>
          <w:bCs/>
          <w:color w:val="auto"/>
          <w:sz w:val="36"/>
          <w:szCs w:val="36"/>
        </w:rPr>
      </w:pPr>
    </w:p>
    <w:p w14:paraId="3E5292A7">
      <w:pPr>
        <w:pStyle w:val="2"/>
        <w:ind w:firstLine="361"/>
        <w:jc w:val="center"/>
        <w:rPr>
          <w:rFonts w:hint="default" w:ascii="宋体"/>
          <w:b/>
          <w:bCs/>
          <w:color w:val="auto"/>
          <w:sz w:val="36"/>
          <w:szCs w:val="36"/>
        </w:rPr>
      </w:pPr>
    </w:p>
    <w:p w14:paraId="4DB59E09">
      <w:pPr>
        <w:pStyle w:val="2"/>
        <w:ind w:firstLine="361"/>
        <w:jc w:val="center"/>
        <w:rPr>
          <w:rFonts w:hint="default" w:ascii="宋体"/>
          <w:b/>
          <w:bCs/>
          <w:color w:val="auto"/>
          <w:sz w:val="36"/>
          <w:szCs w:val="36"/>
        </w:rPr>
      </w:pPr>
    </w:p>
    <w:p w14:paraId="1B7EACFA">
      <w:pPr>
        <w:pStyle w:val="2"/>
        <w:ind w:firstLine="361"/>
        <w:jc w:val="center"/>
        <w:rPr>
          <w:rFonts w:hint="default" w:ascii="宋体"/>
          <w:b/>
          <w:bCs/>
          <w:color w:val="auto"/>
          <w:sz w:val="36"/>
          <w:szCs w:val="36"/>
        </w:rPr>
      </w:pPr>
    </w:p>
    <w:p w14:paraId="077FF69E">
      <w:pPr>
        <w:widowControl/>
        <w:spacing w:before="100" w:beforeAutospacing="1" w:after="100" w:afterAutospacing="1" w:line="360" w:lineRule="auto"/>
        <w:jc w:val="center"/>
        <w:rPr>
          <w:rFonts w:ascii="宋体" w:hAnsi="宋体"/>
          <w:b/>
          <w:bCs/>
          <w:color w:val="auto"/>
          <w:sz w:val="32"/>
          <w:szCs w:val="32"/>
        </w:rPr>
      </w:pPr>
      <w:r>
        <w:rPr>
          <w:rFonts w:hint="eastAsia" w:ascii="宋体" w:hAnsi="宋体"/>
          <w:b/>
          <w:bCs/>
          <w:color w:val="auto"/>
          <w:sz w:val="32"/>
          <w:szCs w:val="32"/>
        </w:rPr>
        <w:t>3.</w:t>
      </w:r>
      <w:r>
        <w:rPr>
          <w:rFonts w:hint="eastAsia" w:ascii="宋体" w:hAnsi="宋体"/>
          <w:b/>
          <w:bCs/>
          <w:color w:val="auto"/>
          <w:sz w:val="32"/>
          <w:szCs w:val="32"/>
          <w:lang w:val="en-US" w:eastAsia="zh-CN"/>
        </w:rPr>
        <w:t>6</w:t>
      </w:r>
      <w:r>
        <w:rPr>
          <w:rFonts w:hint="eastAsia" w:ascii="宋体" w:hAnsi="宋体"/>
          <w:b/>
          <w:bCs/>
          <w:color w:val="auto"/>
          <w:sz w:val="32"/>
          <w:szCs w:val="32"/>
        </w:rPr>
        <w:t xml:space="preserve"> </w:t>
      </w:r>
      <w:r>
        <w:rPr>
          <w:rFonts w:hint="eastAsia" w:ascii="宋体" w:hAnsi="宋体"/>
          <w:b/>
          <w:bCs/>
          <w:color w:val="auto"/>
          <w:sz w:val="32"/>
          <w:szCs w:val="32"/>
          <w:lang w:val="en-US" w:eastAsia="zh-CN"/>
        </w:rPr>
        <w:t>投标人</w:t>
      </w:r>
      <w:r>
        <w:rPr>
          <w:rFonts w:hint="eastAsia" w:ascii="宋体" w:hAnsi="宋体"/>
          <w:b/>
          <w:bCs/>
          <w:color w:val="auto"/>
          <w:sz w:val="32"/>
          <w:szCs w:val="32"/>
        </w:rPr>
        <w:t>提供与参加本项目投标的其他</w:t>
      </w:r>
      <w:r>
        <w:rPr>
          <w:rFonts w:hint="eastAsia" w:ascii="宋体" w:hAnsi="宋体"/>
          <w:b/>
          <w:bCs/>
          <w:color w:val="auto"/>
          <w:sz w:val="32"/>
          <w:szCs w:val="32"/>
          <w:lang w:val="en-US" w:eastAsia="zh-CN"/>
        </w:rPr>
        <w:t>供应商</w:t>
      </w:r>
      <w:r>
        <w:rPr>
          <w:rFonts w:hint="eastAsia" w:ascii="宋体" w:hAnsi="宋体"/>
          <w:b/>
          <w:bCs/>
          <w:color w:val="auto"/>
          <w:sz w:val="32"/>
          <w:szCs w:val="32"/>
        </w:rPr>
        <w:t>之间，单位负责人不为同一人并且不存在直接控股、管理关系承诺函</w:t>
      </w:r>
    </w:p>
    <w:p w14:paraId="3D5B2D92">
      <w:pPr>
        <w:autoSpaceDE w:val="0"/>
        <w:autoSpaceDN w:val="0"/>
        <w:adjustRightInd w:val="0"/>
        <w:spacing w:line="360" w:lineRule="auto"/>
        <w:jc w:val="center"/>
        <w:outlineLvl w:val="0"/>
        <w:rPr>
          <w:rFonts w:hint="eastAsia" w:ascii="宋体" w:hAnsi="宋体"/>
          <w:bCs/>
          <w:color w:val="auto"/>
          <w:sz w:val="24"/>
          <w:szCs w:val="24"/>
        </w:rPr>
      </w:pPr>
      <w:r>
        <w:rPr>
          <w:rFonts w:hint="eastAsia" w:ascii="宋体" w:hAnsi="宋体"/>
          <w:bCs/>
          <w:color w:val="auto"/>
          <w:sz w:val="24"/>
          <w:szCs w:val="24"/>
        </w:rPr>
        <w:t>（承诺函格式自拟）</w:t>
      </w:r>
    </w:p>
    <w:p w14:paraId="4DE9F8E1">
      <w:pPr>
        <w:rPr>
          <w:color w:val="auto"/>
          <w:lang w:val="zh-CN"/>
        </w:rPr>
      </w:pPr>
      <w:r>
        <w:rPr>
          <w:rFonts w:hint="eastAsia" w:ascii="宋体" w:hAnsi="宋体"/>
          <w:bCs/>
          <w:color w:val="auto"/>
          <w:sz w:val="24"/>
          <w:szCs w:val="24"/>
        </w:rPr>
        <w:br w:type="page"/>
      </w:r>
    </w:p>
    <w:p w14:paraId="684F9BE2">
      <w:pPr>
        <w:autoSpaceDE w:val="0"/>
        <w:autoSpaceDN w:val="0"/>
        <w:adjustRightInd w:val="0"/>
        <w:spacing w:line="360" w:lineRule="auto"/>
        <w:jc w:val="center"/>
        <w:rPr>
          <w:rFonts w:ascii="宋体" w:hAnsi="宋体"/>
          <w:b/>
          <w:bCs/>
          <w:color w:val="auto"/>
          <w:sz w:val="32"/>
          <w:szCs w:val="32"/>
        </w:rPr>
      </w:pPr>
      <w:r>
        <w:rPr>
          <w:rFonts w:ascii="宋体" w:hAnsi="宋体"/>
          <w:b/>
          <w:bCs/>
          <w:color w:val="auto"/>
          <w:sz w:val="32"/>
          <w:szCs w:val="32"/>
        </w:rPr>
        <w:t>3.</w:t>
      </w:r>
      <w:r>
        <w:rPr>
          <w:rFonts w:hint="eastAsia" w:ascii="宋体" w:hAnsi="宋体"/>
          <w:b/>
          <w:bCs/>
          <w:color w:val="auto"/>
          <w:sz w:val="32"/>
          <w:szCs w:val="32"/>
          <w:lang w:val="en-US" w:eastAsia="zh-CN"/>
        </w:rPr>
        <w:t>7</w:t>
      </w:r>
      <w:r>
        <w:rPr>
          <w:rFonts w:ascii="宋体" w:hAnsi="宋体"/>
          <w:b/>
          <w:bCs/>
          <w:color w:val="auto"/>
          <w:sz w:val="32"/>
          <w:szCs w:val="32"/>
        </w:rPr>
        <w:t xml:space="preserve"> </w:t>
      </w:r>
      <w:r>
        <w:rPr>
          <w:rFonts w:hint="eastAsia" w:ascii="宋体" w:hAnsi="宋体"/>
          <w:b/>
          <w:bCs/>
          <w:color w:val="auto"/>
          <w:sz w:val="32"/>
          <w:szCs w:val="32"/>
          <w:lang w:val="en-US" w:eastAsia="zh-CN"/>
        </w:rPr>
        <w:t>投标人</w:t>
      </w:r>
      <w:r>
        <w:rPr>
          <w:rFonts w:ascii="宋体" w:hAnsi="宋体"/>
          <w:b/>
          <w:bCs/>
          <w:color w:val="auto"/>
          <w:sz w:val="32"/>
          <w:szCs w:val="32"/>
        </w:rPr>
        <w:t xml:space="preserve">提供未为本项目提供整体设计、规范编制或者项目管理、监理、检测等服务承诺函 </w:t>
      </w:r>
    </w:p>
    <w:p w14:paraId="50540CF4">
      <w:pPr>
        <w:autoSpaceDE w:val="0"/>
        <w:autoSpaceDN w:val="0"/>
        <w:adjustRightInd w:val="0"/>
        <w:spacing w:line="360" w:lineRule="auto"/>
        <w:jc w:val="center"/>
        <w:rPr>
          <w:rFonts w:ascii="宋体" w:hAnsi="宋体" w:cs="黑体"/>
          <w:b/>
          <w:bCs/>
          <w:color w:val="auto"/>
          <w:sz w:val="44"/>
          <w:szCs w:val="44"/>
          <w:lang w:val="zh-CN"/>
        </w:rPr>
      </w:pPr>
      <w:r>
        <w:rPr>
          <w:color w:val="auto"/>
        </w:rPr>
        <w:t>（承诺函格式自拟）</w:t>
      </w:r>
    </w:p>
    <w:p w14:paraId="4F720135">
      <w:pPr>
        <w:autoSpaceDE w:val="0"/>
        <w:autoSpaceDN w:val="0"/>
        <w:adjustRightInd w:val="0"/>
        <w:spacing w:line="360" w:lineRule="auto"/>
        <w:jc w:val="center"/>
        <w:rPr>
          <w:rFonts w:ascii="宋体" w:hAnsi="宋体" w:cs="黑体"/>
          <w:b/>
          <w:bCs/>
          <w:color w:val="auto"/>
          <w:sz w:val="44"/>
          <w:szCs w:val="44"/>
          <w:lang w:val="zh-CN"/>
        </w:rPr>
      </w:pPr>
    </w:p>
    <w:p w14:paraId="4FDCE533">
      <w:pPr>
        <w:autoSpaceDE w:val="0"/>
        <w:autoSpaceDN w:val="0"/>
        <w:adjustRightInd w:val="0"/>
        <w:spacing w:line="360" w:lineRule="auto"/>
        <w:jc w:val="center"/>
        <w:rPr>
          <w:rFonts w:ascii="宋体" w:hAnsi="宋体" w:cs="黑体"/>
          <w:b/>
          <w:bCs/>
          <w:color w:val="auto"/>
          <w:sz w:val="44"/>
          <w:szCs w:val="44"/>
          <w:lang w:val="zh-CN"/>
        </w:rPr>
      </w:pPr>
    </w:p>
    <w:p w14:paraId="03F6F14F">
      <w:pPr>
        <w:autoSpaceDE w:val="0"/>
        <w:autoSpaceDN w:val="0"/>
        <w:adjustRightInd w:val="0"/>
        <w:spacing w:line="360" w:lineRule="auto"/>
        <w:jc w:val="center"/>
        <w:outlineLvl w:val="0"/>
        <w:rPr>
          <w:rFonts w:ascii="宋体" w:hAnsi="宋体"/>
          <w:b/>
          <w:bCs/>
          <w:color w:val="auto"/>
          <w:sz w:val="36"/>
          <w:szCs w:val="36"/>
        </w:rPr>
      </w:pPr>
    </w:p>
    <w:p w14:paraId="0003CC5E">
      <w:pPr>
        <w:autoSpaceDE w:val="0"/>
        <w:autoSpaceDN w:val="0"/>
        <w:adjustRightInd w:val="0"/>
        <w:spacing w:line="360" w:lineRule="auto"/>
        <w:jc w:val="center"/>
        <w:outlineLvl w:val="0"/>
        <w:rPr>
          <w:rFonts w:ascii="宋体" w:hAnsi="宋体"/>
          <w:b/>
          <w:bCs/>
          <w:color w:val="auto"/>
          <w:sz w:val="36"/>
          <w:szCs w:val="36"/>
        </w:rPr>
      </w:pPr>
    </w:p>
    <w:p w14:paraId="1E77BF58">
      <w:pPr>
        <w:autoSpaceDE w:val="0"/>
        <w:autoSpaceDN w:val="0"/>
        <w:adjustRightInd w:val="0"/>
        <w:spacing w:line="360" w:lineRule="auto"/>
        <w:jc w:val="center"/>
        <w:outlineLvl w:val="0"/>
        <w:rPr>
          <w:rFonts w:ascii="宋体" w:hAnsi="宋体"/>
          <w:b/>
          <w:bCs/>
          <w:color w:val="auto"/>
          <w:sz w:val="36"/>
          <w:szCs w:val="36"/>
        </w:rPr>
      </w:pPr>
    </w:p>
    <w:p w14:paraId="10341FAE">
      <w:pPr>
        <w:rPr>
          <w:rFonts w:ascii="宋体" w:hAnsi="宋体" w:eastAsia="宋体" w:cs="Times New Roman"/>
          <w:b/>
          <w:bCs/>
          <w:color w:val="auto"/>
          <w:sz w:val="32"/>
          <w:szCs w:val="32"/>
        </w:rPr>
      </w:pPr>
      <w:r>
        <w:rPr>
          <w:rFonts w:ascii="宋体" w:hAnsi="宋体" w:eastAsia="宋体" w:cs="Times New Roman"/>
          <w:b/>
          <w:bCs/>
          <w:color w:val="auto"/>
          <w:sz w:val="32"/>
          <w:szCs w:val="32"/>
        </w:rPr>
        <w:br w:type="page"/>
      </w:r>
    </w:p>
    <w:p w14:paraId="7F572B9E">
      <w:pPr>
        <w:autoSpaceDE w:val="0"/>
        <w:autoSpaceDN w:val="0"/>
        <w:adjustRightInd w:val="0"/>
        <w:spacing w:line="360" w:lineRule="auto"/>
        <w:jc w:val="center"/>
        <w:rPr>
          <w:rFonts w:hint="eastAsia" w:ascii="宋体" w:hAnsi="宋体" w:eastAsia="宋体" w:cs="Times New Roman"/>
          <w:b/>
          <w:bCs/>
          <w:color w:val="auto"/>
          <w:sz w:val="32"/>
          <w:szCs w:val="32"/>
        </w:rPr>
      </w:pPr>
      <w:r>
        <w:rPr>
          <w:rFonts w:ascii="宋体" w:hAnsi="宋体" w:eastAsia="宋体" w:cs="Times New Roman"/>
          <w:b/>
          <w:bCs/>
          <w:color w:val="auto"/>
          <w:sz w:val="32"/>
          <w:szCs w:val="32"/>
        </w:rPr>
        <w:t>3.</w:t>
      </w:r>
      <w:r>
        <w:rPr>
          <w:rFonts w:hint="eastAsia" w:ascii="宋体" w:hAnsi="宋体" w:cs="Times New Roman"/>
          <w:b/>
          <w:bCs/>
          <w:color w:val="auto"/>
          <w:sz w:val="32"/>
          <w:szCs w:val="32"/>
          <w:lang w:val="en-US" w:eastAsia="zh-CN"/>
        </w:rPr>
        <w:t>8</w:t>
      </w:r>
      <w:r>
        <w:rPr>
          <w:rFonts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rPr>
        <w:t>联合体协议（如有）</w:t>
      </w:r>
    </w:p>
    <w:p w14:paraId="4FDB76A2">
      <w:pPr>
        <w:jc w:val="center"/>
        <w:rPr>
          <w:rFonts w:ascii="宋体" w:hAnsi="宋体" w:eastAsia="宋体" w:cs="Times New Roman"/>
          <w:b/>
          <w:bCs/>
          <w:color w:val="auto"/>
          <w:sz w:val="32"/>
          <w:szCs w:val="32"/>
        </w:rPr>
      </w:pPr>
      <w:r>
        <w:rPr>
          <w:color w:val="auto"/>
        </w:rPr>
        <w:t>（格式自拟）</w:t>
      </w:r>
    </w:p>
    <w:p w14:paraId="1A8AA0C8">
      <w:pPr>
        <w:rPr>
          <w:rFonts w:ascii="宋体" w:hAnsi="宋体" w:eastAsia="宋体" w:cs="Times New Roman"/>
          <w:b/>
          <w:bCs/>
          <w:color w:val="auto"/>
          <w:sz w:val="32"/>
          <w:szCs w:val="32"/>
        </w:rPr>
      </w:pPr>
    </w:p>
    <w:p w14:paraId="2AE6A105">
      <w:pPr>
        <w:rPr>
          <w:rFonts w:ascii="宋体" w:hAnsi="宋体" w:eastAsia="宋体" w:cs="Times New Roman"/>
          <w:b/>
          <w:bCs/>
          <w:color w:val="auto"/>
          <w:sz w:val="32"/>
          <w:szCs w:val="32"/>
        </w:rPr>
      </w:pPr>
      <w:r>
        <w:rPr>
          <w:rFonts w:ascii="宋体" w:hAnsi="宋体" w:eastAsia="宋体" w:cs="Times New Roman"/>
          <w:b/>
          <w:bCs/>
          <w:color w:val="auto"/>
          <w:sz w:val="32"/>
          <w:szCs w:val="32"/>
        </w:rPr>
        <w:br w:type="page"/>
      </w:r>
    </w:p>
    <w:p w14:paraId="460A72AA">
      <w:pPr>
        <w:autoSpaceDE w:val="0"/>
        <w:autoSpaceDN w:val="0"/>
        <w:adjustRightInd w:val="0"/>
        <w:spacing w:line="360" w:lineRule="auto"/>
        <w:jc w:val="center"/>
        <w:rPr>
          <w:rFonts w:ascii="宋体" w:hAnsi="宋体" w:eastAsia="宋体" w:cs="Times New Roman"/>
          <w:b/>
          <w:bCs/>
          <w:color w:val="auto"/>
          <w:sz w:val="32"/>
          <w:szCs w:val="32"/>
        </w:rPr>
      </w:pPr>
      <w:r>
        <w:rPr>
          <w:rFonts w:hint="eastAsia" w:ascii="宋体" w:hAnsi="宋体" w:cs="Times New Roman"/>
          <w:b/>
          <w:bCs/>
          <w:color w:val="auto"/>
          <w:sz w:val="32"/>
          <w:szCs w:val="32"/>
          <w:lang w:val="en-US" w:eastAsia="zh-CN"/>
        </w:rPr>
        <w:t xml:space="preserve">3.9 </w:t>
      </w:r>
      <w:r>
        <w:rPr>
          <w:rFonts w:ascii="宋体" w:hAnsi="宋体" w:eastAsia="宋体" w:cs="Times New Roman"/>
          <w:b/>
          <w:bCs/>
          <w:color w:val="auto"/>
          <w:sz w:val="32"/>
          <w:szCs w:val="32"/>
        </w:rPr>
        <w:t>其他资格证书或材料</w:t>
      </w:r>
    </w:p>
    <w:p w14:paraId="0F3FF1D3">
      <w:pPr>
        <w:rPr>
          <w:rFonts w:hint="eastAsia" w:ascii="宋体" w:hAnsi="宋体" w:cs="黑体"/>
          <w:b/>
          <w:bCs/>
          <w:color w:val="auto"/>
          <w:sz w:val="44"/>
          <w:szCs w:val="44"/>
          <w:lang w:val="zh-CN"/>
        </w:rPr>
      </w:pPr>
      <w:r>
        <w:rPr>
          <w:rFonts w:hint="eastAsia" w:ascii="宋体" w:hAnsi="宋体" w:cs="黑体"/>
          <w:b/>
          <w:bCs/>
          <w:color w:val="auto"/>
          <w:sz w:val="44"/>
          <w:szCs w:val="44"/>
          <w:lang w:val="zh-CN"/>
        </w:rPr>
        <w:br w:type="page"/>
      </w:r>
    </w:p>
    <w:p w14:paraId="3DC422E2">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四、符合性审查证明材料</w:t>
      </w:r>
    </w:p>
    <w:p w14:paraId="5CCC7DD3">
      <w:pPr>
        <w:autoSpaceDE w:val="0"/>
        <w:autoSpaceDN w:val="0"/>
        <w:adjustRightInd w:val="0"/>
        <w:spacing w:line="360" w:lineRule="auto"/>
        <w:jc w:val="center"/>
        <w:outlineLvl w:val="0"/>
        <w:rPr>
          <w:rFonts w:ascii="宋体" w:hAnsi="宋体"/>
          <w:b/>
          <w:bCs/>
          <w:color w:val="auto"/>
          <w:sz w:val="32"/>
          <w:szCs w:val="32"/>
        </w:rPr>
      </w:pPr>
    </w:p>
    <w:p w14:paraId="04A3DB89">
      <w:pPr>
        <w:autoSpaceDE w:val="0"/>
        <w:autoSpaceDN w:val="0"/>
        <w:adjustRightInd w:val="0"/>
        <w:spacing w:line="360" w:lineRule="auto"/>
        <w:jc w:val="center"/>
        <w:outlineLvl w:val="0"/>
        <w:rPr>
          <w:rFonts w:ascii="宋体" w:hAnsi="宋体"/>
          <w:b/>
          <w:bCs/>
          <w:color w:val="auto"/>
          <w:sz w:val="30"/>
          <w:szCs w:val="30"/>
        </w:rPr>
      </w:pPr>
      <w:r>
        <w:rPr>
          <w:rFonts w:hint="eastAsia" w:ascii="宋体" w:hAnsi="宋体"/>
          <w:b/>
          <w:bCs/>
          <w:color w:val="auto"/>
          <w:sz w:val="28"/>
          <w:szCs w:val="28"/>
        </w:rPr>
        <w:t xml:space="preserve">4.1 </w:t>
      </w:r>
      <w:r>
        <w:rPr>
          <w:rFonts w:hint="eastAsia" w:ascii="宋体" w:hAnsi="宋体"/>
          <w:b/>
          <w:bCs/>
          <w:color w:val="auto"/>
          <w:sz w:val="30"/>
          <w:szCs w:val="30"/>
          <w:lang w:val="en-US" w:eastAsia="zh-CN"/>
        </w:rPr>
        <w:t xml:space="preserve"> 技术（实施）方案</w:t>
      </w:r>
    </w:p>
    <w:p w14:paraId="017B684F">
      <w:pPr>
        <w:autoSpaceDE w:val="0"/>
        <w:autoSpaceDN w:val="0"/>
        <w:adjustRightInd w:val="0"/>
        <w:spacing w:line="360" w:lineRule="auto"/>
        <w:jc w:val="center"/>
        <w:outlineLvl w:val="0"/>
        <w:rPr>
          <w:rFonts w:ascii="宋体" w:hAnsi="宋体" w:cs="宋体"/>
          <w:b/>
          <w:bCs/>
          <w:color w:val="auto"/>
          <w:sz w:val="24"/>
          <w:szCs w:val="24"/>
        </w:rPr>
      </w:pPr>
      <w:r>
        <w:rPr>
          <w:rFonts w:hint="eastAsia" w:ascii="宋体" w:hAnsi="宋体" w:cs="宋体"/>
          <w:b w:val="0"/>
          <w:bCs w:val="0"/>
          <w:color w:val="auto"/>
          <w:sz w:val="24"/>
          <w:szCs w:val="24"/>
        </w:rPr>
        <w:t>（供应商根据</w:t>
      </w:r>
      <w:r>
        <w:rPr>
          <w:rFonts w:hint="eastAsia" w:ascii="宋体" w:hAnsi="宋体" w:cs="宋体"/>
          <w:b w:val="0"/>
          <w:bCs w:val="0"/>
          <w:color w:val="auto"/>
          <w:sz w:val="24"/>
          <w:szCs w:val="24"/>
          <w:lang w:eastAsia="zh-CN"/>
        </w:rPr>
        <w:t>招标</w:t>
      </w:r>
      <w:r>
        <w:rPr>
          <w:rFonts w:hint="eastAsia" w:ascii="宋体" w:hAnsi="宋体" w:cs="宋体"/>
          <w:b w:val="0"/>
          <w:bCs w:val="0"/>
          <w:color w:val="auto"/>
          <w:sz w:val="24"/>
          <w:szCs w:val="24"/>
        </w:rPr>
        <w:t>文件要求自行编制）</w:t>
      </w:r>
    </w:p>
    <w:p w14:paraId="654AE48F">
      <w:pPr>
        <w:rPr>
          <w:rFonts w:hint="eastAsia" w:ascii="宋体" w:hAnsi="宋体"/>
          <w:b/>
          <w:bCs/>
          <w:color w:val="auto"/>
          <w:sz w:val="30"/>
          <w:szCs w:val="30"/>
        </w:rPr>
      </w:pPr>
      <w:r>
        <w:rPr>
          <w:rFonts w:hint="eastAsia" w:ascii="宋体" w:hAnsi="宋体"/>
          <w:b/>
          <w:bCs/>
          <w:color w:val="auto"/>
          <w:sz w:val="30"/>
          <w:szCs w:val="30"/>
        </w:rPr>
        <w:br w:type="page"/>
      </w:r>
    </w:p>
    <w:p w14:paraId="4E5628EE">
      <w:pPr>
        <w:autoSpaceDE w:val="0"/>
        <w:autoSpaceDN w:val="0"/>
        <w:adjustRightInd w:val="0"/>
        <w:spacing w:line="360" w:lineRule="auto"/>
        <w:jc w:val="center"/>
        <w:outlineLvl w:val="0"/>
        <w:rPr>
          <w:rFonts w:cs="宋体" w:asciiTheme="minorEastAsia" w:hAnsiTheme="minorEastAsia"/>
          <w:color w:val="auto"/>
          <w:sz w:val="24"/>
          <w:szCs w:val="24"/>
          <w:lang w:val="zh-CN"/>
        </w:rPr>
      </w:pPr>
      <w:r>
        <w:rPr>
          <w:rFonts w:hint="eastAsia" w:ascii="宋体" w:hAnsi="宋体"/>
          <w:b/>
          <w:bCs/>
          <w:color w:val="auto"/>
          <w:sz w:val="30"/>
          <w:szCs w:val="30"/>
        </w:rPr>
        <w:t>4.</w:t>
      </w:r>
      <w:r>
        <w:rPr>
          <w:rFonts w:hint="eastAsia" w:ascii="宋体" w:hAnsi="宋体"/>
          <w:b/>
          <w:bCs/>
          <w:color w:val="auto"/>
          <w:sz w:val="30"/>
          <w:szCs w:val="30"/>
          <w:lang w:val="en-US" w:eastAsia="zh-CN"/>
        </w:rPr>
        <w:t>2</w:t>
      </w:r>
      <w:r>
        <w:rPr>
          <w:rFonts w:hint="eastAsia" w:ascii="宋体" w:hAnsi="宋体"/>
          <w:b/>
          <w:bCs/>
          <w:color w:val="auto"/>
          <w:sz w:val="30"/>
          <w:szCs w:val="30"/>
        </w:rPr>
        <w:t xml:space="preserve"> 服务承诺</w:t>
      </w:r>
    </w:p>
    <w:p w14:paraId="4653A952">
      <w:pPr>
        <w:autoSpaceDE w:val="0"/>
        <w:autoSpaceDN w:val="0"/>
        <w:adjustRightInd w:val="0"/>
        <w:spacing w:line="360" w:lineRule="auto"/>
        <w:jc w:val="center"/>
        <w:outlineLvl w:val="0"/>
        <w:rPr>
          <w:rFonts w:ascii="宋体" w:hAnsi="宋体" w:cs="宋体"/>
          <w:b/>
          <w:bCs/>
          <w:color w:val="auto"/>
          <w:sz w:val="24"/>
          <w:szCs w:val="24"/>
          <w:lang w:val="zh-CN"/>
        </w:rPr>
      </w:pPr>
      <w:r>
        <w:rPr>
          <w:rFonts w:hint="eastAsia" w:ascii="宋体" w:hAnsi="宋体" w:cs="宋体"/>
          <w:b/>
          <w:bCs/>
          <w:color w:val="auto"/>
          <w:sz w:val="24"/>
          <w:szCs w:val="24"/>
          <w:lang w:val="zh-CN"/>
        </w:rPr>
        <w:t>（格式自拟）</w:t>
      </w:r>
    </w:p>
    <w:p w14:paraId="25474A27">
      <w:pPr>
        <w:rPr>
          <w:rFonts w:hint="eastAsia" w:ascii="宋体" w:hAnsi="宋体" w:cs="宋体"/>
          <w:color w:val="auto"/>
          <w:szCs w:val="21"/>
          <w:lang w:val="zh-CN"/>
        </w:rPr>
      </w:pPr>
      <w:r>
        <w:rPr>
          <w:rFonts w:hint="eastAsia" w:ascii="宋体" w:hAnsi="宋体" w:cs="宋体"/>
          <w:color w:val="auto"/>
          <w:szCs w:val="21"/>
          <w:lang w:val="zh-CN"/>
        </w:rPr>
        <w:br w:type="page"/>
      </w:r>
    </w:p>
    <w:p w14:paraId="066273A5">
      <w:pPr>
        <w:autoSpaceDE w:val="0"/>
        <w:autoSpaceDN w:val="0"/>
        <w:adjustRightInd w:val="0"/>
        <w:spacing w:line="360" w:lineRule="auto"/>
        <w:jc w:val="center"/>
        <w:outlineLvl w:val="0"/>
        <w:rPr>
          <w:rFonts w:hint="eastAsia" w:eastAsia="宋体" w:cs="宋体" w:asciiTheme="minorEastAsia" w:hAnsiTheme="minorEastAsia"/>
          <w:color w:val="auto"/>
          <w:sz w:val="24"/>
          <w:szCs w:val="24"/>
          <w:lang w:val="en-US" w:eastAsia="zh-CN"/>
        </w:rPr>
      </w:pPr>
      <w:r>
        <w:rPr>
          <w:rFonts w:hint="eastAsia" w:ascii="宋体" w:hAnsi="宋体"/>
          <w:b/>
          <w:bCs/>
          <w:color w:val="auto"/>
          <w:sz w:val="30"/>
          <w:szCs w:val="30"/>
        </w:rPr>
        <w:t>4.</w:t>
      </w:r>
      <w:r>
        <w:rPr>
          <w:rFonts w:hint="eastAsia" w:ascii="宋体" w:hAnsi="宋体"/>
          <w:b/>
          <w:bCs/>
          <w:color w:val="auto"/>
          <w:sz w:val="30"/>
          <w:szCs w:val="30"/>
          <w:lang w:val="en-US" w:eastAsia="zh-CN"/>
        </w:rPr>
        <w:t>3</w:t>
      </w:r>
      <w:r>
        <w:rPr>
          <w:rFonts w:hint="eastAsia" w:ascii="宋体" w:hAnsi="宋体"/>
          <w:b/>
          <w:bCs/>
          <w:color w:val="auto"/>
          <w:sz w:val="30"/>
          <w:szCs w:val="30"/>
        </w:rPr>
        <w:t xml:space="preserve"> 业绩</w:t>
      </w:r>
      <w:r>
        <w:rPr>
          <w:rFonts w:hint="eastAsia" w:ascii="宋体" w:hAnsi="宋体"/>
          <w:b/>
          <w:bCs/>
          <w:color w:val="auto"/>
          <w:sz w:val="30"/>
          <w:szCs w:val="30"/>
          <w:lang w:val="en-US" w:eastAsia="zh-CN"/>
        </w:rPr>
        <w:t>情况表</w:t>
      </w:r>
    </w:p>
    <w:p w14:paraId="2777ACAC">
      <w:pPr>
        <w:kinsoku/>
        <w:wordWrap/>
        <w:overflowPunct/>
        <w:topLinePunct w:val="0"/>
        <w:bidi w:val="0"/>
        <w:spacing w:beforeAutospacing="0" w:afterAutospacing="0" w:line="360" w:lineRule="auto"/>
        <w:contextualSpacing/>
        <w:jc w:val="left"/>
        <w:rPr>
          <w:rFonts w:ascii="宋体" w:hAnsi="宋体"/>
          <w:color w:val="auto"/>
          <w:sz w:val="24"/>
          <w:szCs w:val="24"/>
        </w:rPr>
      </w:pPr>
      <w:r>
        <w:rPr>
          <w:rFonts w:hint="eastAsia" w:ascii="宋体" w:hAnsi="宋体"/>
          <w:color w:val="auto"/>
          <w:sz w:val="24"/>
          <w:szCs w:val="24"/>
        </w:rPr>
        <w:t>项目编号：</w:t>
      </w:r>
    </w:p>
    <w:p w14:paraId="16B0CABA">
      <w:pPr>
        <w:kinsoku/>
        <w:wordWrap/>
        <w:overflowPunct/>
        <w:topLinePunct w:val="0"/>
        <w:bidi w:val="0"/>
        <w:snapToGrid w:val="0"/>
        <w:spacing w:beforeAutospacing="0" w:afterAutospacing="0" w:line="360" w:lineRule="auto"/>
        <w:rPr>
          <w:rFonts w:hAnsi="宋体"/>
          <w:b/>
          <w:snapToGrid w:val="0"/>
          <w:color w:val="auto"/>
          <w:kern w:val="0"/>
          <w:sz w:val="36"/>
          <w:szCs w:val="36"/>
        </w:rPr>
      </w:pPr>
      <w:r>
        <w:rPr>
          <w:rFonts w:hint="eastAsia" w:ascii="宋体" w:hAnsi="宋体"/>
          <w:color w:val="auto"/>
          <w:sz w:val="24"/>
          <w:szCs w:val="24"/>
        </w:rPr>
        <w:t xml:space="preserve">项目名称：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6A24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noWrap w:val="0"/>
            <w:vAlign w:val="center"/>
          </w:tcPr>
          <w:p w14:paraId="117316B1">
            <w:pPr>
              <w:pStyle w:val="19"/>
              <w:kinsoku/>
              <w:wordWrap/>
              <w:overflowPunct/>
              <w:topLinePunct w:val="0"/>
              <w:bidi w:val="0"/>
              <w:spacing w:beforeAutospacing="0" w:afterAutospacing="0" w:line="360" w:lineRule="auto"/>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noWrap w:val="0"/>
            <w:vAlign w:val="center"/>
          </w:tcPr>
          <w:p w14:paraId="74EEAC06">
            <w:pPr>
              <w:pStyle w:val="19"/>
              <w:kinsoku/>
              <w:wordWrap/>
              <w:overflowPunct/>
              <w:topLinePunct w:val="0"/>
              <w:bidi w:val="0"/>
              <w:spacing w:beforeAutospacing="0" w:afterAutospacing="0" w:line="360" w:lineRule="auto"/>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noWrap w:val="0"/>
            <w:vAlign w:val="center"/>
          </w:tcPr>
          <w:p w14:paraId="38E9D381">
            <w:pPr>
              <w:pStyle w:val="19"/>
              <w:kinsoku/>
              <w:wordWrap/>
              <w:overflowPunct/>
              <w:topLinePunct w:val="0"/>
              <w:bidi w:val="0"/>
              <w:spacing w:beforeAutospacing="0" w:afterAutospacing="0" w:line="360" w:lineRule="auto"/>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noWrap w:val="0"/>
            <w:vAlign w:val="center"/>
          </w:tcPr>
          <w:p w14:paraId="473F0EA0">
            <w:pPr>
              <w:pStyle w:val="19"/>
              <w:kinsoku/>
              <w:wordWrap/>
              <w:overflowPunct/>
              <w:topLinePunct w:val="0"/>
              <w:bidi w:val="0"/>
              <w:spacing w:beforeAutospacing="0" w:afterAutospacing="0" w:line="360" w:lineRule="auto"/>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noWrap w:val="0"/>
            <w:vAlign w:val="center"/>
          </w:tcPr>
          <w:p w14:paraId="17658288">
            <w:pPr>
              <w:pStyle w:val="19"/>
              <w:kinsoku/>
              <w:wordWrap/>
              <w:overflowPunct/>
              <w:topLinePunct w:val="0"/>
              <w:bidi w:val="0"/>
              <w:spacing w:beforeAutospacing="0" w:afterAutospacing="0" w:line="360" w:lineRule="auto"/>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14:paraId="2D2C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14:paraId="136B3DA1">
            <w:pPr>
              <w:pStyle w:val="19"/>
              <w:kinsoku/>
              <w:wordWrap/>
              <w:overflowPunct/>
              <w:topLinePunct w:val="0"/>
              <w:bidi w:val="0"/>
              <w:spacing w:beforeAutospacing="0" w:afterAutospacing="0" w:line="360" w:lineRule="auto"/>
              <w:rPr>
                <w:rFonts w:ascii="宋体" w:hAnsi="宋体" w:eastAsia="宋体" w:cs="宋体"/>
                <w:color w:val="auto"/>
                <w:sz w:val="24"/>
                <w:szCs w:val="24"/>
              </w:rPr>
            </w:pPr>
            <w:r>
              <w:rPr>
                <w:rFonts w:ascii="宋体" w:hAnsi="宋体" w:eastAsia="宋体" w:cs="宋体"/>
                <w:color w:val="auto"/>
                <w:sz w:val="24"/>
                <w:szCs w:val="24"/>
              </w:rPr>
              <w:t>1</w:t>
            </w:r>
          </w:p>
        </w:tc>
        <w:tc>
          <w:tcPr>
            <w:tcW w:w="1808" w:type="dxa"/>
            <w:noWrap w:val="0"/>
            <w:vAlign w:val="center"/>
          </w:tcPr>
          <w:p w14:paraId="550FD0FA">
            <w:pPr>
              <w:pStyle w:val="19"/>
              <w:kinsoku/>
              <w:wordWrap/>
              <w:overflowPunct/>
              <w:topLinePunct w:val="0"/>
              <w:bidi w:val="0"/>
              <w:spacing w:beforeAutospacing="0" w:afterAutospacing="0" w:line="360" w:lineRule="auto"/>
              <w:rPr>
                <w:rFonts w:ascii="宋体" w:hAnsi="宋体" w:eastAsia="宋体" w:cs="Times New Roman"/>
                <w:color w:val="auto"/>
                <w:sz w:val="24"/>
                <w:szCs w:val="24"/>
              </w:rPr>
            </w:pPr>
          </w:p>
        </w:tc>
        <w:tc>
          <w:tcPr>
            <w:tcW w:w="3579" w:type="dxa"/>
            <w:noWrap w:val="0"/>
            <w:vAlign w:val="center"/>
          </w:tcPr>
          <w:p w14:paraId="7475CC5A">
            <w:pPr>
              <w:pStyle w:val="19"/>
              <w:kinsoku/>
              <w:wordWrap/>
              <w:overflowPunct/>
              <w:topLinePunct w:val="0"/>
              <w:bidi w:val="0"/>
              <w:spacing w:beforeAutospacing="0" w:afterAutospacing="0" w:line="360" w:lineRule="auto"/>
              <w:rPr>
                <w:rFonts w:ascii="宋体" w:hAnsi="宋体" w:eastAsia="宋体" w:cs="Times New Roman"/>
                <w:color w:val="auto"/>
                <w:sz w:val="24"/>
                <w:szCs w:val="24"/>
              </w:rPr>
            </w:pPr>
          </w:p>
        </w:tc>
        <w:tc>
          <w:tcPr>
            <w:tcW w:w="1440" w:type="dxa"/>
            <w:noWrap w:val="0"/>
            <w:vAlign w:val="center"/>
          </w:tcPr>
          <w:p w14:paraId="71336ACB">
            <w:pPr>
              <w:pStyle w:val="19"/>
              <w:kinsoku/>
              <w:wordWrap/>
              <w:overflowPunct/>
              <w:topLinePunct w:val="0"/>
              <w:bidi w:val="0"/>
              <w:spacing w:beforeAutospacing="0" w:afterAutospacing="0" w:line="360" w:lineRule="auto"/>
              <w:rPr>
                <w:rFonts w:ascii="宋体" w:hAnsi="宋体" w:eastAsia="宋体" w:cs="Times New Roman"/>
                <w:color w:val="auto"/>
                <w:sz w:val="24"/>
                <w:szCs w:val="24"/>
              </w:rPr>
            </w:pPr>
          </w:p>
        </w:tc>
        <w:tc>
          <w:tcPr>
            <w:tcW w:w="1706" w:type="dxa"/>
            <w:noWrap w:val="0"/>
            <w:vAlign w:val="center"/>
          </w:tcPr>
          <w:p w14:paraId="2214491F">
            <w:pPr>
              <w:pStyle w:val="19"/>
              <w:kinsoku/>
              <w:wordWrap/>
              <w:overflowPunct/>
              <w:topLinePunct w:val="0"/>
              <w:bidi w:val="0"/>
              <w:spacing w:beforeAutospacing="0" w:afterAutospacing="0" w:line="360" w:lineRule="auto"/>
              <w:rPr>
                <w:rFonts w:ascii="宋体" w:hAnsi="宋体" w:eastAsia="宋体" w:cs="Times New Roman"/>
                <w:color w:val="auto"/>
                <w:sz w:val="24"/>
                <w:szCs w:val="24"/>
              </w:rPr>
            </w:pPr>
          </w:p>
        </w:tc>
      </w:tr>
      <w:tr w14:paraId="68C7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14:paraId="11AE857D">
            <w:pPr>
              <w:pStyle w:val="19"/>
              <w:kinsoku/>
              <w:wordWrap/>
              <w:overflowPunct/>
              <w:topLinePunct w:val="0"/>
              <w:bidi w:val="0"/>
              <w:spacing w:beforeAutospacing="0" w:afterAutospacing="0" w:line="360" w:lineRule="auto"/>
              <w:rPr>
                <w:rFonts w:ascii="宋体" w:hAnsi="宋体" w:eastAsia="宋体" w:cs="宋体"/>
                <w:color w:val="auto"/>
                <w:sz w:val="24"/>
                <w:szCs w:val="24"/>
              </w:rPr>
            </w:pPr>
            <w:r>
              <w:rPr>
                <w:rFonts w:ascii="宋体" w:hAnsi="宋体" w:eastAsia="宋体" w:cs="宋体"/>
                <w:color w:val="auto"/>
                <w:sz w:val="24"/>
                <w:szCs w:val="24"/>
              </w:rPr>
              <w:t>2</w:t>
            </w:r>
          </w:p>
        </w:tc>
        <w:tc>
          <w:tcPr>
            <w:tcW w:w="1808" w:type="dxa"/>
            <w:noWrap w:val="0"/>
            <w:vAlign w:val="center"/>
          </w:tcPr>
          <w:p w14:paraId="5C67E22E">
            <w:pPr>
              <w:pStyle w:val="19"/>
              <w:kinsoku/>
              <w:wordWrap/>
              <w:overflowPunct/>
              <w:topLinePunct w:val="0"/>
              <w:bidi w:val="0"/>
              <w:spacing w:beforeAutospacing="0" w:afterAutospacing="0" w:line="360" w:lineRule="auto"/>
              <w:rPr>
                <w:rFonts w:ascii="宋体" w:hAnsi="宋体" w:eastAsia="宋体" w:cs="Times New Roman"/>
                <w:color w:val="auto"/>
                <w:sz w:val="24"/>
                <w:szCs w:val="24"/>
              </w:rPr>
            </w:pPr>
          </w:p>
        </w:tc>
        <w:tc>
          <w:tcPr>
            <w:tcW w:w="3579" w:type="dxa"/>
            <w:noWrap w:val="0"/>
            <w:vAlign w:val="center"/>
          </w:tcPr>
          <w:p w14:paraId="263D5E78">
            <w:pPr>
              <w:pStyle w:val="19"/>
              <w:kinsoku/>
              <w:wordWrap/>
              <w:overflowPunct/>
              <w:topLinePunct w:val="0"/>
              <w:bidi w:val="0"/>
              <w:spacing w:beforeAutospacing="0" w:afterAutospacing="0" w:line="360" w:lineRule="auto"/>
              <w:rPr>
                <w:rFonts w:ascii="宋体" w:hAnsi="宋体" w:eastAsia="宋体" w:cs="Times New Roman"/>
                <w:color w:val="auto"/>
                <w:sz w:val="24"/>
                <w:szCs w:val="24"/>
              </w:rPr>
            </w:pPr>
          </w:p>
        </w:tc>
        <w:tc>
          <w:tcPr>
            <w:tcW w:w="1440" w:type="dxa"/>
            <w:noWrap w:val="0"/>
            <w:vAlign w:val="center"/>
          </w:tcPr>
          <w:p w14:paraId="2FF61A5B">
            <w:pPr>
              <w:pStyle w:val="19"/>
              <w:kinsoku/>
              <w:wordWrap/>
              <w:overflowPunct/>
              <w:topLinePunct w:val="0"/>
              <w:bidi w:val="0"/>
              <w:spacing w:beforeAutospacing="0" w:afterAutospacing="0" w:line="360" w:lineRule="auto"/>
              <w:rPr>
                <w:rFonts w:ascii="宋体" w:hAnsi="宋体" w:eastAsia="宋体" w:cs="Times New Roman"/>
                <w:color w:val="auto"/>
                <w:sz w:val="24"/>
                <w:szCs w:val="24"/>
              </w:rPr>
            </w:pPr>
          </w:p>
        </w:tc>
        <w:tc>
          <w:tcPr>
            <w:tcW w:w="1706" w:type="dxa"/>
            <w:noWrap w:val="0"/>
            <w:vAlign w:val="center"/>
          </w:tcPr>
          <w:p w14:paraId="0F24A79F">
            <w:pPr>
              <w:pStyle w:val="19"/>
              <w:kinsoku/>
              <w:wordWrap/>
              <w:overflowPunct/>
              <w:topLinePunct w:val="0"/>
              <w:bidi w:val="0"/>
              <w:spacing w:beforeAutospacing="0" w:afterAutospacing="0" w:line="360" w:lineRule="auto"/>
              <w:rPr>
                <w:rFonts w:ascii="宋体" w:hAnsi="宋体" w:eastAsia="宋体" w:cs="Times New Roman"/>
                <w:color w:val="auto"/>
                <w:sz w:val="24"/>
                <w:szCs w:val="24"/>
              </w:rPr>
            </w:pPr>
          </w:p>
        </w:tc>
      </w:tr>
      <w:tr w14:paraId="3039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14:paraId="0A84F17B">
            <w:pPr>
              <w:pStyle w:val="19"/>
              <w:kinsoku/>
              <w:wordWrap/>
              <w:overflowPunct/>
              <w:topLinePunct w:val="0"/>
              <w:bidi w:val="0"/>
              <w:spacing w:beforeAutospacing="0" w:afterAutospacing="0" w:line="360" w:lineRule="auto"/>
              <w:rPr>
                <w:rFonts w:ascii="宋体" w:hAnsi="宋体" w:eastAsia="宋体" w:cs="宋体"/>
                <w:color w:val="auto"/>
                <w:sz w:val="24"/>
                <w:szCs w:val="24"/>
              </w:rPr>
            </w:pPr>
            <w:r>
              <w:rPr>
                <w:rFonts w:ascii="宋体" w:hAnsi="宋体" w:eastAsia="宋体" w:cs="宋体"/>
                <w:color w:val="auto"/>
                <w:sz w:val="24"/>
                <w:szCs w:val="24"/>
              </w:rPr>
              <w:t>3</w:t>
            </w:r>
          </w:p>
        </w:tc>
        <w:tc>
          <w:tcPr>
            <w:tcW w:w="1808" w:type="dxa"/>
            <w:noWrap w:val="0"/>
            <w:vAlign w:val="center"/>
          </w:tcPr>
          <w:p w14:paraId="7212E310">
            <w:pPr>
              <w:pStyle w:val="19"/>
              <w:kinsoku/>
              <w:wordWrap/>
              <w:overflowPunct/>
              <w:topLinePunct w:val="0"/>
              <w:bidi w:val="0"/>
              <w:spacing w:beforeAutospacing="0" w:afterAutospacing="0" w:line="360" w:lineRule="auto"/>
              <w:rPr>
                <w:rFonts w:ascii="宋体" w:hAnsi="宋体" w:eastAsia="宋体" w:cs="Times New Roman"/>
                <w:color w:val="auto"/>
                <w:sz w:val="24"/>
                <w:szCs w:val="24"/>
              </w:rPr>
            </w:pPr>
          </w:p>
        </w:tc>
        <w:tc>
          <w:tcPr>
            <w:tcW w:w="3579" w:type="dxa"/>
            <w:noWrap w:val="0"/>
            <w:vAlign w:val="center"/>
          </w:tcPr>
          <w:p w14:paraId="29961426">
            <w:pPr>
              <w:pStyle w:val="19"/>
              <w:kinsoku/>
              <w:wordWrap/>
              <w:overflowPunct/>
              <w:topLinePunct w:val="0"/>
              <w:bidi w:val="0"/>
              <w:spacing w:beforeAutospacing="0" w:afterAutospacing="0" w:line="360" w:lineRule="auto"/>
              <w:rPr>
                <w:rFonts w:ascii="宋体" w:hAnsi="宋体" w:eastAsia="宋体" w:cs="Times New Roman"/>
                <w:color w:val="auto"/>
                <w:sz w:val="24"/>
                <w:szCs w:val="24"/>
              </w:rPr>
            </w:pPr>
          </w:p>
        </w:tc>
        <w:tc>
          <w:tcPr>
            <w:tcW w:w="1440" w:type="dxa"/>
            <w:noWrap w:val="0"/>
            <w:vAlign w:val="center"/>
          </w:tcPr>
          <w:p w14:paraId="45722878">
            <w:pPr>
              <w:pStyle w:val="19"/>
              <w:kinsoku/>
              <w:wordWrap/>
              <w:overflowPunct/>
              <w:topLinePunct w:val="0"/>
              <w:bidi w:val="0"/>
              <w:spacing w:beforeAutospacing="0" w:afterAutospacing="0" w:line="360" w:lineRule="auto"/>
              <w:rPr>
                <w:rFonts w:ascii="宋体" w:hAnsi="宋体" w:eastAsia="宋体" w:cs="Times New Roman"/>
                <w:color w:val="auto"/>
                <w:sz w:val="24"/>
                <w:szCs w:val="24"/>
              </w:rPr>
            </w:pPr>
          </w:p>
        </w:tc>
        <w:tc>
          <w:tcPr>
            <w:tcW w:w="1706" w:type="dxa"/>
            <w:noWrap w:val="0"/>
            <w:vAlign w:val="center"/>
          </w:tcPr>
          <w:p w14:paraId="5C63DBBE">
            <w:pPr>
              <w:pStyle w:val="19"/>
              <w:kinsoku/>
              <w:wordWrap/>
              <w:overflowPunct/>
              <w:topLinePunct w:val="0"/>
              <w:bidi w:val="0"/>
              <w:spacing w:beforeAutospacing="0" w:afterAutospacing="0" w:line="360" w:lineRule="auto"/>
              <w:rPr>
                <w:rFonts w:ascii="宋体" w:hAnsi="宋体" w:eastAsia="宋体" w:cs="Times New Roman"/>
                <w:color w:val="auto"/>
                <w:sz w:val="24"/>
                <w:szCs w:val="24"/>
              </w:rPr>
            </w:pPr>
          </w:p>
        </w:tc>
      </w:tr>
      <w:tr w14:paraId="03F1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14:paraId="0F610305">
            <w:pPr>
              <w:pStyle w:val="19"/>
              <w:kinsoku/>
              <w:wordWrap/>
              <w:overflowPunct/>
              <w:topLinePunct w:val="0"/>
              <w:bidi w:val="0"/>
              <w:spacing w:beforeAutospacing="0" w:afterAutospacing="0" w:line="360" w:lineRule="auto"/>
              <w:rPr>
                <w:rFonts w:ascii="宋体" w:hAnsi="宋体" w:eastAsia="宋体" w:cs="宋体"/>
                <w:color w:val="auto"/>
                <w:sz w:val="24"/>
                <w:szCs w:val="24"/>
              </w:rPr>
            </w:pPr>
            <w:r>
              <w:rPr>
                <w:rFonts w:ascii="宋体" w:hAnsi="宋体" w:eastAsia="宋体" w:cs="宋体"/>
                <w:color w:val="auto"/>
                <w:sz w:val="24"/>
                <w:szCs w:val="24"/>
              </w:rPr>
              <w:t>4</w:t>
            </w:r>
          </w:p>
        </w:tc>
        <w:tc>
          <w:tcPr>
            <w:tcW w:w="1808" w:type="dxa"/>
            <w:noWrap w:val="0"/>
            <w:vAlign w:val="center"/>
          </w:tcPr>
          <w:p w14:paraId="62B69123">
            <w:pPr>
              <w:kinsoku/>
              <w:wordWrap/>
              <w:overflowPunct/>
              <w:topLinePunct w:val="0"/>
              <w:bidi w:val="0"/>
              <w:spacing w:beforeAutospacing="0" w:afterAutospacing="0" w:line="360" w:lineRule="auto"/>
              <w:rPr>
                <w:rFonts w:ascii="宋体"/>
                <w:color w:val="auto"/>
              </w:rPr>
            </w:pPr>
          </w:p>
        </w:tc>
        <w:tc>
          <w:tcPr>
            <w:tcW w:w="3579" w:type="dxa"/>
            <w:noWrap w:val="0"/>
            <w:vAlign w:val="center"/>
          </w:tcPr>
          <w:p w14:paraId="5E43FC9B">
            <w:pPr>
              <w:kinsoku/>
              <w:wordWrap/>
              <w:overflowPunct/>
              <w:topLinePunct w:val="0"/>
              <w:bidi w:val="0"/>
              <w:spacing w:beforeAutospacing="0" w:afterAutospacing="0" w:line="360" w:lineRule="auto"/>
              <w:rPr>
                <w:rFonts w:ascii="宋体"/>
                <w:color w:val="auto"/>
              </w:rPr>
            </w:pPr>
          </w:p>
        </w:tc>
        <w:tc>
          <w:tcPr>
            <w:tcW w:w="1440" w:type="dxa"/>
            <w:noWrap w:val="0"/>
            <w:vAlign w:val="center"/>
          </w:tcPr>
          <w:p w14:paraId="0764D759">
            <w:pPr>
              <w:kinsoku/>
              <w:wordWrap/>
              <w:overflowPunct/>
              <w:topLinePunct w:val="0"/>
              <w:bidi w:val="0"/>
              <w:spacing w:beforeAutospacing="0" w:afterAutospacing="0" w:line="360" w:lineRule="auto"/>
              <w:rPr>
                <w:rFonts w:ascii="宋体"/>
                <w:color w:val="auto"/>
              </w:rPr>
            </w:pPr>
          </w:p>
        </w:tc>
        <w:tc>
          <w:tcPr>
            <w:tcW w:w="1706" w:type="dxa"/>
            <w:noWrap w:val="0"/>
            <w:vAlign w:val="center"/>
          </w:tcPr>
          <w:p w14:paraId="65F7ABAE">
            <w:pPr>
              <w:kinsoku/>
              <w:wordWrap/>
              <w:overflowPunct/>
              <w:topLinePunct w:val="0"/>
              <w:bidi w:val="0"/>
              <w:spacing w:beforeAutospacing="0" w:afterAutospacing="0" w:line="360" w:lineRule="auto"/>
              <w:rPr>
                <w:rFonts w:ascii="宋体"/>
                <w:color w:val="auto"/>
              </w:rPr>
            </w:pPr>
          </w:p>
        </w:tc>
      </w:tr>
      <w:tr w14:paraId="149B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14:paraId="41F96BC6">
            <w:pPr>
              <w:pStyle w:val="19"/>
              <w:kinsoku/>
              <w:wordWrap/>
              <w:overflowPunct/>
              <w:topLinePunct w:val="0"/>
              <w:bidi w:val="0"/>
              <w:spacing w:beforeAutospacing="0" w:afterAutospacing="0" w:line="360" w:lineRule="auto"/>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noWrap w:val="0"/>
            <w:vAlign w:val="center"/>
          </w:tcPr>
          <w:p w14:paraId="083D7F09">
            <w:pPr>
              <w:kinsoku/>
              <w:wordWrap/>
              <w:overflowPunct/>
              <w:topLinePunct w:val="0"/>
              <w:bidi w:val="0"/>
              <w:spacing w:beforeAutospacing="0" w:afterAutospacing="0" w:line="360" w:lineRule="auto"/>
              <w:rPr>
                <w:rFonts w:ascii="宋体"/>
                <w:color w:val="auto"/>
              </w:rPr>
            </w:pPr>
          </w:p>
        </w:tc>
        <w:tc>
          <w:tcPr>
            <w:tcW w:w="3579" w:type="dxa"/>
            <w:noWrap w:val="0"/>
            <w:vAlign w:val="center"/>
          </w:tcPr>
          <w:p w14:paraId="26EF4141">
            <w:pPr>
              <w:kinsoku/>
              <w:wordWrap/>
              <w:overflowPunct/>
              <w:topLinePunct w:val="0"/>
              <w:bidi w:val="0"/>
              <w:spacing w:beforeAutospacing="0" w:afterAutospacing="0" w:line="360" w:lineRule="auto"/>
              <w:rPr>
                <w:rFonts w:ascii="宋体"/>
                <w:color w:val="auto"/>
              </w:rPr>
            </w:pPr>
          </w:p>
        </w:tc>
        <w:tc>
          <w:tcPr>
            <w:tcW w:w="1440" w:type="dxa"/>
            <w:noWrap w:val="0"/>
            <w:vAlign w:val="center"/>
          </w:tcPr>
          <w:p w14:paraId="060AACAB">
            <w:pPr>
              <w:kinsoku/>
              <w:wordWrap/>
              <w:overflowPunct/>
              <w:topLinePunct w:val="0"/>
              <w:bidi w:val="0"/>
              <w:spacing w:beforeAutospacing="0" w:afterAutospacing="0" w:line="360" w:lineRule="auto"/>
              <w:rPr>
                <w:rFonts w:ascii="宋体"/>
                <w:color w:val="auto"/>
              </w:rPr>
            </w:pPr>
          </w:p>
        </w:tc>
        <w:tc>
          <w:tcPr>
            <w:tcW w:w="1706" w:type="dxa"/>
            <w:noWrap w:val="0"/>
            <w:vAlign w:val="center"/>
          </w:tcPr>
          <w:p w14:paraId="13941073">
            <w:pPr>
              <w:kinsoku/>
              <w:wordWrap/>
              <w:overflowPunct/>
              <w:topLinePunct w:val="0"/>
              <w:bidi w:val="0"/>
              <w:spacing w:beforeAutospacing="0" w:afterAutospacing="0" w:line="360" w:lineRule="auto"/>
              <w:rPr>
                <w:rFonts w:ascii="宋体"/>
                <w:color w:val="auto"/>
              </w:rPr>
            </w:pPr>
          </w:p>
        </w:tc>
      </w:tr>
    </w:tbl>
    <w:p w14:paraId="50F8EE58">
      <w:pPr>
        <w:kinsoku/>
        <w:wordWrap/>
        <w:overflowPunct/>
        <w:topLinePunct w:val="0"/>
        <w:autoSpaceDE w:val="0"/>
        <w:autoSpaceDN w:val="0"/>
        <w:bidi w:val="0"/>
        <w:adjustRightInd w:val="0"/>
        <w:spacing w:beforeAutospacing="0" w:afterAutospacing="0" w:line="36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14:paraId="727D5B4B">
      <w:pPr>
        <w:kinsoku/>
        <w:wordWrap/>
        <w:overflowPunct/>
        <w:topLinePunct w:val="0"/>
        <w:autoSpaceDE w:val="0"/>
        <w:autoSpaceDN w:val="0"/>
        <w:bidi w:val="0"/>
        <w:adjustRightInd w:val="0"/>
        <w:spacing w:beforeAutospacing="0" w:afterAutospacing="0" w:line="36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投标人法定代表人（单位负责人）或授权代表（签字或盖章）：</w:t>
      </w:r>
    </w:p>
    <w:p w14:paraId="50402525">
      <w:pPr>
        <w:rPr>
          <w:rFonts w:ascii="宋体" w:hAnsi="宋体"/>
          <w:b/>
          <w:bCs/>
          <w:color w:val="auto"/>
          <w:sz w:val="36"/>
          <w:szCs w:val="36"/>
        </w:rPr>
      </w:pPr>
      <w:r>
        <w:rPr>
          <w:rFonts w:ascii="宋体" w:hAnsi="宋体"/>
          <w:b/>
          <w:bCs/>
          <w:color w:val="auto"/>
          <w:sz w:val="36"/>
          <w:szCs w:val="36"/>
        </w:rPr>
        <w:br w:type="page"/>
      </w:r>
    </w:p>
    <w:p w14:paraId="5C288D3E">
      <w:pPr>
        <w:kinsoku/>
        <w:wordWrap/>
        <w:overflowPunct/>
        <w:topLinePunct w:val="0"/>
        <w:autoSpaceDE w:val="0"/>
        <w:autoSpaceDN w:val="0"/>
        <w:bidi w:val="0"/>
        <w:adjustRightInd w:val="0"/>
        <w:spacing w:beforeAutospacing="0" w:afterAutospacing="0" w:line="360" w:lineRule="auto"/>
        <w:jc w:val="center"/>
        <w:outlineLvl w:val="0"/>
        <w:rPr>
          <w:rFonts w:ascii="宋体" w:hAnsi="宋体"/>
          <w:b/>
          <w:bCs/>
          <w:color w:val="auto"/>
          <w:sz w:val="32"/>
          <w:szCs w:val="32"/>
        </w:rPr>
      </w:pPr>
      <w:r>
        <w:rPr>
          <w:rFonts w:hint="eastAsia" w:ascii="宋体" w:hAnsi="宋体"/>
          <w:b/>
          <w:bCs/>
          <w:color w:val="auto"/>
          <w:sz w:val="30"/>
          <w:szCs w:val="30"/>
        </w:rPr>
        <w:t>4.</w:t>
      </w:r>
      <w:r>
        <w:rPr>
          <w:rFonts w:hint="eastAsia" w:ascii="宋体" w:hAnsi="宋体"/>
          <w:b/>
          <w:bCs/>
          <w:color w:val="auto"/>
          <w:sz w:val="30"/>
          <w:szCs w:val="30"/>
          <w:lang w:val="en-US" w:eastAsia="zh-CN"/>
        </w:rPr>
        <w:t>4</w:t>
      </w:r>
      <w:r>
        <w:rPr>
          <w:rFonts w:hint="eastAsia" w:ascii="宋体" w:hAnsi="宋体"/>
          <w:b/>
          <w:bCs/>
          <w:color w:val="auto"/>
          <w:sz w:val="30"/>
          <w:szCs w:val="30"/>
        </w:rPr>
        <w:t xml:space="preserve"> </w:t>
      </w:r>
      <w:r>
        <w:rPr>
          <w:rFonts w:hint="eastAsia" w:ascii="宋体" w:hAnsi="宋体" w:eastAsia="宋体" w:cs="Times New Roman"/>
          <w:b/>
          <w:bCs/>
          <w:color w:val="auto"/>
          <w:sz w:val="30"/>
          <w:szCs w:val="30"/>
          <w:lang w:val="en-US" w:eastAsia="zh-CN"/>
        </w:rPr>
        <w:t>中小企业声明函（工程、服务）</w:t>
      </w:r>
    </w:p>
    <w:p w14:paraId="008E60D5">
      <w:pPr>
        <w:kinsoku/>
        <w:wordWrap/>
        <w:overflowPunct/>
        <w:topLinePunct w:val="0"/>
        <w:bidi w:val="0"/>
        <w:spacing w:beforeAutospacing="0" w:afterAutospacing="0" w:line="360" w:lineRule="auto"/>
        <w:jc w:val="center"/>
        <w:rPr>
          <w:rFonts w:ascii="宋体" w:hAnsi="宋体"/>
          <w:b/>
          <w:bCs/>
          <w:color w:val="auto"/>
          <w:szCs w:val="21"/>
        </w:rPr>
      </w:pPr>
    </w:p>
    <w:p w14:paraId="7C1314A5">
      <w:pPr>
        <w:pStyle w:val="3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s="宋体"/>
          <w:color w:val="auto"/>
        </w:rPr>
      </w:pPr>
      <w:r>
        <w:rPr>
          <w:rFonts w:hint="eastAsia" w:ascii="宋体" w:hAnsi="宋体" w:cs="宋体"/>
          <w:color w:val="auto"/>
        </w:rPr>
        <w:t>本公司（联合体）郑重声明，根据《政府采购促进中小企业发展管理办法》（财库﹝2020﹞46号）的规定，本公司（联合体）参加</w:t>
      </w:r>
      <w:r>
        <w:rPr>
          <w:rFonts w:hint="eastAsia" w:ascii="宋体" w:hAnsi="宋体" w:cs="宋体"/>
          <w:color w:val="auto"/>
          <w:u w:val="single"/>
        </w:rPr>
        <w:t>（单位名称）</w:t>
      </w:r>
      <w:r>
        <w:rPr>
          <w:rFonts w:hint="eastAsia" w:ascii="宋体" w:hAnsi="宋体" w:cs="宋体"/>
          <w:color w:val="auto"/>
        </w:rPr>
        <w:t>的</w:t>
      </w:r>
      <w:r>
        <w:rPr>
          <w:rFonts w:hint="eastAsia" w:ascii="宋体" w:hAnsi="宋体" w:cs="宋体"/>
          <w:color w:val="auto"/>
          <w:u w:val="single"/>
        </w:rPr>
        <w:t>（项目名称）</w:t>
      </w:r>
      <w:r>
        <w:rPr>
          <w:rFonts w:hint="eastAsia" w:ascii="宋体" w:hAnsi="宋体" w:cs="宋体"/>
          <w:color w:val="auto"/>
        </w:rPr>
        <w:t>采购活动，工程的施工单位全部为符合政策要求的中小企业（或者：服务全部由符合政策要求的中小企业承建）。相关企业（含联合体中的中小企业、签订分包意向协议的中小企业）的具体情况如下：</w:t>
      </w:r>
    </w:p>
    <w:p w14:paraId="30E9217A">
      <w:pPr>
        <w:pStyle w:val="3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s="宋体"/>
          <w:color w:val="auto"/>
        </w:rPr>
      </w:pPr>
      <w:r>
        <w:rPr>
          <w:rFonts w:hint="eastAsia" w:ascii="宋体" w:hAnsi="宋体" w:cs="宋体"/>
          <w:color w:val="auto"/>
        </w:rPr>
        <w:t>1.</w:t>
      </w:r>
      <w:r>
        <w:rPr>
          <w:rFonts w:hint="eastAsia" w:ascii="宋体" w:hAnsi="宋体" w:cs="宋体"/>
          <w:color w:val="auto"/>
          <w:u w:val="single"/>
        </w:rPr>
        <w:t>（标的名称）</w:t>
      </w:r>
      <w:r>
        <w:rPr>
          <w:rFonts w:hint="eastAsia" w:ascii="宋体" w:hAnsi="宋体" w:cs="宋体"/>
          <w:color w:val="auto"/>
        </w:rPr>
        <w:t>，属于</w:t>
      </w:r>
      <w:r>
        <w:rPr>
          <w:rFonts w:hint="eastAsia" w:ascii="宋体" w:hAnsi="宋体" w:cs="宋体"/>
          <w:color w:val="auto"/>
          <w:u w:val="single"/>
        </w:rPr>
        <w:t>（采购文件中明确的所属行业）</w:t>
      </w:r>
      <w:r>
        <w:rPr>
          <w:rFonts w:hint="eastAsia" w:ascii="宋体" w:hAnsi="宋体" w:cs="宋体"/>
          <w:color w:val="auto"/>
        </w:rPr>
        <w:t>行业；承建（承接）企业为</w:t>
      </w:r>
      <w:r>
        <w:rPr>
          <w:rFonts w:hint="eastAsia" w:ascii="宋体" w:hAnsi="宋体" w:cs="宋体"/>
          <w:color w:val="auto"/>
          <w:u w:val="single"/>
        </w:rPr>
        <w:t>（企业名称）</w:t>
      </w:r>
      <w:r>
        <w:rPr>
          <w:rFonts w:hint="eastAsia" w:ascii="宋体" w:hAnsi="宋体" w:cs="宋体"/>
          <w:color w:val="auto"/>
        </w:rPr>
        <w:t>，从业人员人，营业收入为万元，资产总额为万元，属于</w:t>
      </w:r>
      <w:r>
        <w:rPr>
          <w:rFonts w:hint="eastAsia" w:ascii="宋体" w:hAnsi="宋体" w:cs="宋体"/>
          <w:color w:val="auto"/>
          <w:u w:val="single"/>
        </w:rPr>
        <w:t>（中型企业、小型企业、微型企业）</w:t>
      </w:r>
      <w:r>
        <w:rPr>
          <w:rFonts w:hint="eastAsia" w:ascii="宋体" w:hAnsi="宋体" w:cs="宋体"/>
          <w:color w:val="auto"/>
        </w:rPr>
        <w:t>；</w:t>
      </w:r>
    </w:p>
    <w:p w14:paraId="3439AF13">
      <w:pPr>
        <w:pStyle w:val="3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s="宋体"/>
          <w:color w:val="auto"/>
        </w:rPr>
      </w:pPr>
      <w:r>
        <w:rPr>
          <w:rFonts w:hint="eastAsia" w:ascii="宋体" w:hAnsi="宋体" w:cs="宋体"/>
          <w:color w:val="auto"/>
        </w:rPr>
        <w:t>2.</w:t>
      </w:r>
      <w:r>
        <w:rPr>
          <w:rFonts w:hint="eastAsia" w:ascii="宋体" w:hAnsi="宋体" w:cs="宋体"/>
          <w:color w:val="auto"/>
          <w:u w:val="single"/>
        </w:rPr>
        <w:t>（标的名称）</w:t>
      </w:r>
      <w:r>
        <w:rPr>
          <w:rFonts w:hint="eastAsia" w:ascii="宋体" w:hAnsi="宋体" w:cs="宋体"/>
          <w:color w:val="auto"/>
        </w:rPr>
        <w:t>，属于</w:t>
      </w:r>
      <w:r>
        <w:rPr>
          <w:rFonts w:hint="eastAsia" w:ascii="宋体" w:hAnsi="宋体" w:cs="宋体"/>
          <w:color w:val="auto"/>
          <w:u w:val="single"/>
        </w:rPr>
        <w:t>（采购文件中明确的所属行业）</w:t>
      </w:r>
      <w:r>
        <w:rPr>
          <w:rFonts w:hint="eastAsia" w:ascii="宋体" w:hAnsi="宋体" w:cs="宋体"/>
          <w:color w:val="auto"/>
        </w:rPr>
        <w:t>行业；承建（承接）企业为</w:t>
      </w:r>
      <w:r>
        <w:rPr>
          <w:rFonts w:hint="eastAsia" w:ascii="宋体" w:hAnsi="宋体" w:cs="宋体"/>
          <w:color w:val="auto"/>
          <w:u w:val="single"/>
        </w:rPr>
        <w:t>（企业名称）</w:t>
      </w:r>
      <w:r>
        <w:rPr>
          <w:rFonts w:hint="eastAsia" w:ascii="宋体" w:hAnsi="宋体" w:cs="宋体"/>
          <w:color w:val="auto"/>
        </w:rPr>
        <w:t>，从业人员人，营业收入为万元，资产总额为万元，属于</w:t>
      </w:r>
      <w:r>
        <w:rPr>
          <w:rFonts w:hint="eastAsia" w:ascii="宋体" w:hAnsi="宋体" w:cs="宋体"/>
          <w:color w:val="auto"/>
          <w:u w:val="single"/>
        </w:rPr>
        <w:t>（中型企业、小型企业、微型企业）</w:t>
      </w:r>
      <w:r>
        <w:rPr>
          <w:rFonts w:hint="eastAsia" w:ascii="宋体" w:hAnsi="宋体" w:cs="宋体"/>
          <w:color w:val="auto"/>
        </w:rPr>
        <w:t>；</w:t>
      </w:r>
    </w:p>
    <w:p w14:paraId="64E9FC51">
      <w:pPr>
        <w:pStyle w:val="3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s="宋体"/>
          <w:color w:val="auto"/>
        </w:rPr>
      </w:pPr>
      <w:r>
        <w:rPr>
          <w:rFonts w:hint="eastAsia" w:ascii="宋体" w:hAnsi="宋体" w:cs="宋体"/>
          <w:color w:val="auto"/>
        </w:rPr>
        <w:t xml:space="preserve">…… </w:t>
      </w:r>
    </w:p>
    <w:p w14:paraId="1AD6D497">
      <w:pPr>
        <w:pStyle w:val="3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s="宋体"/>
          <w:color w:val="auto"/>
        </w:rPr>
      </w:pPr>
      <w:r>
        <w:rPr>
          <w:rFonts w:hint="eastAsia" w:ascii="宋体" w:hAnsi="宋体" w:cs="宋体"/>
          <w:color w:val="auto"/>
        </w:rPr>
        <w:t>以上企业，不属于大企业的分支机构，不存在控股股东为大企业的情形，也不存在与大企业的负责人为同一人的情形。</w:t>
      </w:r>
    </w:p>
    <w:p w14:paraId="38581A0A">
      <w:pPr>
        <w:pStyle w:val="3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s="宋体"/>
          <w:color w:val="auto"/>
        </w:rPr>
      </w:pPr>
      <w:r>
        <w:rPr>
          <w:rFonts w:hint="eastAsia" w:ascii="宋体" w:hAnsi="宋体" w:cs="宋体"/>
          <w:color w:val="auto"/>
        </w:rPr>
        <w:t>本企业对上述声明内容的真实性负责。如有虚假，将依法承担相应责任。</w:t>
      </w:r>
    </w:p>
    <w:p w14:paraId="77C01EB1">
      <w:pPr>
        <w:pStyle w:val="3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s="宋体"/>
          <w:color w:val="auto"/>
        </w:rPr>
      </w:pPr>
    </w:p>
    <w:p w14:paraId="5C11E9A4">
      <w:pPr>
        <w:pStyle w:val="3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920" w:firstLineChars="2050"/>
        <w:textAlignment w:val="auto"/>
        <w:rPr>
          <w:rFonts w:ascii="宋体" w:hAnsi="宋体" w:cs="宋体"/>
          <w:color w:val="auto"/>
        </w:rPr>
      </w:pPr>
      <w:r>
        <w:rPr>
          <w:rFonts w:hint="eastAsia" w:ascii="宋体" w:hAnsi="宋体" w:cs="宋体"/>
          <w:color w:val="auto"/>
        </w:rPr>
        <w:t>企业名称（盖章）：</w:t>
      </w:r>
    </w:p>
    <w:p w14:paraId="0966AD86">
      <w:pPr>
        <w:pStyle w:val="3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920" w:firstLineChars="2050"/>
        <w:textAlignment w:val="auto"/>
        <w:rPr>
          <w:rFonts w:ascii="宋体" w:hAnsi="宋体" w:cs="宋体"/>
          <w:color w:val="auto"/>
        </w:rPr>
      </w:pPr>
      <w:r>
        <w:rPr>
          <w:rFonts w:hint="eastAsia" w:ascii="宋体" w:hAnsi="宋体" w:cs="宋体"/>
          <w:color w:val="auto"/>
        </w:rPr>
        <w:t>日期：</w:t>
      </w:r>
    </w:p>
    <w:p w14:paraId="351D8C15">
      <w:pPr>
        <w:pStyle w:val="37"/>
        <w:shd w:val="clear" w:color="auto" w:fill="FFFFFF"/>
        <w:wordWrap/>
        <w:overflowPunct/>
        <w:bidi w:val="0"/>
        <w:spacing w:beforeAutospacing="0" w:afterAutospacing="0" w:line="360" w:lineRule="exact"/>
        <w:rPr>
          <w:rFonts w:ascii="宋体" w:hAnsi="宋体" w:cs="宋体"/>
          <w:color w:val="auto"/>
          <w:sz w:val="24"/>
          <w:szCs w:val="24"/>
        </w:rPr>
      </w:pPr>
      <w:r>
        <w:rPr>
          <w:rFonts w:hint="eastAsia" w:ascii="宋体" w:hAnsi="宋体" w:cs="宋体"/>
          <w:color w:val="auto"/>
          <w:sz w:val="24"/>
          <w:szCs w:val="24"/>
        </w:rPr>
        <w:t>说明：</w:t>
      </w:r>
    </w:p>
    <w:p w14:paraId="3082B801">
      <w:pPr>
        <w:pStyle w:val="37"/>
        <w:shd w:val="clear" w:color="auto" w:fill="FFFFFF"/>
        <w:wordWrap/>
        <w:overflowPunct/>
        <w:bidi w:val="0"/>
        <w:spacing w:beforeAutospacing="0" w:afterAutospacing="0" w:line="360" w:lineRule="exact"/>
        <w:rPr>
          <w:rFonts w:ascii="宋体" w:hAnsi="宋体" w:cs="宋体"/>
          <w:color w:val="auto"/>
          <w:sz w:val="24"/>
          <w:szCs w:val="24"/>
        </w:rPr>
      </w:pPr>
      <w:r>
        <w:rPr>
          <w:rFonts w:hint="eastAsia" w:ascii="宋体" w:hAnsi="宋体" w:cs="宋体"/>
          <w:color w:val="auto"/>
          <w:sz w:val="24"/>
          <w:szCs w:val="24"/>
        </w:rPr>
        <w:t>1、从业人员、营业收入、资产总额填报上一年度数据，无上一年度数据的新成立企业可不填报。</w:t>
      </w:r>
    </w:p>
    <w:p w14:paraId="0324EC23">
      <w:pPr>
        <w:autoSpaceDE w:val="0"/>
        <w:autoSpaceDN w:val="0"/>
        <w:adjustRightInd w:val="0"/>
        <w:spacing w:line="360" w:lineRule="auto"/>
        <w:jc w:val="center"/>
        <w:outlineLvl w:val="0"/>
        <w:rPr>
          <w:rFonts w:hint="eastAsia" w:ascii="宋体" w:hAnsi="宋体" w:cs="宋体"/>
          <w:color w:val="auto"/>
          <w:sz w:val="24"/>
          <w:szCs w:val="24"/>
        </w:rPr>
      </w:pPr>
      <w:r>
        <w:rPr>
          <w:rFonts w:hint="eastAsia" w:ascii="宋体" w:hAnsi="宋体" w:cs="宋体"/>
          <w:color w:val="auto"/>
          <w:sz w:val="24"/>
          <w:szCs w:val="24"/>
        </w:rPr>
        <w:t>2、中小企业参加政府采购活动，应当出具《中小企业声明函》，否则不得享受相关中小企业扶持政策。</w:t>
      </w:r>
    </w:p>
    <w:p w14:paraId="335B9301">
      <w:pPr>
        <w:rPr>
          <w:rFonts w:hint="eastAsia" w:ascii="宋体" w:hAnsi="宋体" w:cs="宋体"/>
          <w:color w:val="auto"/>
          <w:sz w:val="24"/>
          <w:szCs w:val="24"/>
        </w:rPr>
      </w:pPr>
      <w:r>
        <w:rPr>
          <w:rFonts w:hint="eastAsia" w:ascii="宋体" w:hAnsi="宋体" w:cs="宋体"/>
          <w:color w:val="auto"/>
          <w:sz w:val="24"/>
          <w:szCs w:val="24"/>
        </w:rPr>
        <w:br w:type="page"/>
      </w:r>
    </w:p>
    <w:p w14:paraId="44FF7BB1">
      <w:pPr>
        <w:kinsoku/>
        <w:wordWrap/>
        <w:overflowPunct/>
        <w:topLinePunct w:val="0"/>
        <w:autoSpaceDE w:val="0"/>
        <w:autoSpaceDN w:val="0"/>
        <w:bidi w:val="0"/>
        <w:adjustRightInd w:val="0"/>
        <w:spacing w:beforeAutospacing="0" w:afterAutospacing="0" w:line="360" w:lineRule="auto"/>
        <w:jc w:val="center"/>
        <w:outlineLvl w:val="0"/>
        <w:rPr>
          <w:rFonts w:ascii="宋体" w:hAnsi="宋体"/>
          <w:b/>
          <w:bCs/>
          <w:color w:val="auto"/>
          <w:sz w:val="36"/>
          <w:szCs w:val="36"/>
        </w:rPr>
      </w:pPr>
      <w:r>
        <w:rPr>
          <w:rFonts w:hint="eastAsia" w:ascii="宋体" w:hAnsi="宋体"/>
          <w:b/>
          <w:bCs/>
          <w:color w:val="auto"/>
          <w:sz w:val="30"/>
          <w:szCs w:val="30"/>
        </w:rPr>
        <w:t>4.</w:t>
      </w:r>
      <w:r>
        <w:rPr>
          <w:rFonts w:hint="eastAsia" w:ascii="宋体" w:hAnsi="宋体"/>
          <w:b/>
          <w:bCs/>
          <w:color w:val="auto"/>
          <w:sz w:val="30"/>
          <w:szCs w:val="30"/>
          <w:lang w:val="en-US" w:eastAsia="zh-CN"/>
        </w:rPr>
        <w:t>5</w:t>
      </w:r>
      <w:r>
        <w:rPr>
          <w:rFonts w:hint="eastAsia" w:ascii="宋体" w:hAnsi="宋体"/>
          <w:b/>
          <w:bCs/>
          <w:color w:val="auto"/>
          <w:sz w:val="30"/>
          <w:szCs w:val="30"/>
        </w:rPr>
        <w:t xml:space="preserve"> </w:t>
      </w:r>
      <w:r>
        <w:rPr>
          <w:rFonts w:hint="eastAsia" w:ascii="宋体" w:hAnsi="宋体" w:eastAsia="宋体" w:cs="Times New Roman"/>
          <w:b/>
          <w:bCs/>
          <w:color w:val="auto"/>
          <w:sz w:val="30"/>
          <w:szCs w:val="30"/>
          <w:lang w:val="en-US" w:eastAsia="zh-CN"/>
        </w:rPr>
        <w:t>残疾人福利性单位声明函</w:t>
      </w:r>
    </w:p>
    <w:p w14:paraId="7C23195E">
      <w:pPr>
        <w:kinsoku/>
        <w:wordWrap/>
        <w:overflowPunct/>
        <w:topLinePunct w:val="0"/>
        <w:bidi w:val="0"/>
        <w:spacing w:beforeAutospacing="0" w:afterAutospacing="0" w:line="360" w:lineRule="auto"/>
        <w:rPr>
          <w:rFonts w:ascii="宋体" w:hAnsi="宋体"/>
          <w:color w:val="auto"/>
          <w:szCs w:val="21"/>
        </w:rPr>
      </w:pPr>
    </w:p>
    <w:p w14:paraId="1366A0D2">
      <w:pPr>
        <w:kinsoku/>
        <w:wordWrap/>
        <w:overflowPunct/>
        <w:topLinePunct w:val="0"/>
        <w:bidi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w:t>
      </w:r>
      <w:r>
        <w:rPr>
          <w:rFonts w:hint="eastAsia" w:ascii="宋体" w:hAnsi="宋体"/>
          <w:color w:val="auto"/>
          <w:sz w:val="24"/>
          <w:szCs w:val="24"/>
          <w:u w:val="single"/>
        </w:rPr>
        <w:t xml:space="preserve">    （符合/不符合）</w:t>
      </w:r>
      <w:r>
        <w:rPr>
          <w:rFonts w:hint="eastAsia" w:ascii="宋体" w:hAnsi="宋体"/>
          <w:color w:val="auto"/>
          <w:sz w:val="24"/>
          <w:szCs w:val="24"/>
        </w:rPr>
        <w:t>条件的残疾人福利性单位，且本单位参加</w:t>
      </w:r>
      <w:r>
        <w:rPr>
          <w:rFonts w:hint="eastAsia" w:ascii="宋体" w:hAnsi="宋体"/>
          <w:color w:val="auto"/>
          <w:sz w:val="24"/>
          <w:szCs w:val="24"/>
          <w:u w:val="single"/>
          <w:lang w:val="en-US" w:eastAsia="zh-CN"/>
        </w:rPr>
        <w:t xml:space="preserve">    </w:t>
      </w:r>
      <w:r>
        <w:rPr>
          <w:rFonts w:hint="eastAsia" w:ascii="宋体" w:hAnsi="宋体"/>
          <w:color w:val="auto"/>
          <w:sz w:val="24"/>
          <w:szCs w:val="24"/>
        </w:rPr>
        <w:t>单位的</w:t>
      </w:r>
      <w:r>
        <w:rPr>
          <w:rFonts w:hint="eastAsia" w:ascii="宋体" w:hAnsi="宋体"/>
          <w:color w:val="auto"/>
          <w:sz w:val="24"/>
          <w:szCs w:val="24"/>
          <w:u w:val="single"/>
          <w:lang w:val="en-US" w:eastAsia="zh-CN"/>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14:paraId="6F6AF44A">
      <w:pPr>
        <w:kinsoku/>
        <w:wordWrap/>
        <w:overflowPunct/>
        <w:topLinePunct w:val="0"/>
        <w:bidi w:val="0"/>
        <w:spacing w:beforeAutospacing="0" w:afterAutospacing="0"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14:paraId="0689A90A">
      <w:pPr>
        <w:kinsoku/>
        <w:wordWrap/>
        <w:overflowPunct/>
        <w:topLinePunct w:val="0"/>
        <w:bidi w:val="0"/>
        <w:spacing w:beforeAutospacing="0" w:afterAutospacing="0" w:line="360" w:lineRule="auto"/>
        <w:rPr>
          <w:rFonts w:ascii="宋体" w:hAnsi="宋体"/>
          <w:color w:val="auto"/>
          <w:sz w:val="24"/>
          <w:szCs w:val="24"/>
        </w:rPr>
      </w:pPr>
    </w:p>
    <w:p w14:paraId="11B9E0E8">
      <w:pPr>
        <w:kinsoku/>
        <w:wordWrap/>
        <w:overflowPunct/>
        <w:topLinePunct w:val="0"/>
        <w:bidi w:val="0"/>
        <w:spacing w:beforeAutospacing="0" w:afterAutospacing="0" w:line="360" w:lineRule="auto"/>
        <w:rPr>
          <w:rFonts w:ascii="宋体" w:hAnsi="宋体"/>
          <w:color w:val="auto"/>
          <w:sz w:val="24"/>
          <w:szCs w:val="24"/>
        </w:rPr>
      </w:pPr>
    </w:p>
    <w:p w14:paraId="55DAB13C">
      <w:pPr>
        <w:keepNext w:val="0"/>
        <w:keepLines w:val="0"/>
        <w:pageBreakBefore w:val="0"/>
        <w:widowControl w:val="0"/>
        <w:kinsoku/>
        <w:wordWrap/>
        <w:overflowPunct/>
        <w:topLinePunct w:val="0"/>
        <w:bidi w:val="0"/>
        <w:snapToGrid/>
        <w:spacing w:beforeAutospacing="0" w:afterAutospacing="0" w:line="360" w:lineRule="auto"/>
        <w:ind w:firstLine="4800" w:firstLineChars="2000"/>
        <w:jc w:val="both"/>
        <w:textAlignment w:val="auto"/>
        <w:rPr>
          <w:rFonts w:ascii="宋体" w:hAnsi="宋体"/>
          <w:color w:val="auto"/>
          <w:sz w:val="24"/>
          <w:szCs w:val="24"/>
        </w:rPr>
      </w:pPr>
      <w:r>
        <w:rPr>
          <w:rFonts w:hint="eastAsia" w:ascii="宋体" w:hAnsi="宋体"/>
          <w:color w:val="auto"/>
          <w:sz w:val="24"/>
          <w:szCs w:val="24"/>
        </w:rPr>
        <w:t>单位名称（盖章）：</w:t>
      </w:r>
    </w:p>
    <w:p w14:paraId="028257AA">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0" w:firstLineChars="2000"/>
        <w:jc w:val="both"/>
        <w:textAlignment w:val="auto"/>
        <w:outlineLvl w:val="0"/>
        <w:rPr>
          <w:rFonts w:ascii="宋体" w:hAnsi="宋体"/>
          <w:b/>
          <w:bCs/>
          <w:color w:val="auto"/>
          <w:sz w:val="32"/>
          <w:szCs w:val="32"/>
        </w:rPr>
      </w:pPr>
      <w:r>
        <w:rPr>
          <w:rFonts w:hint="eastAsia" w:ascii="宋体" w:hAnsi="宋体" w:cs="宋体"/>
          <w:color w:val="auto"/>
          <w:sz w:val="24"/>
          <w:szCs w:val="24"/>
          <w:lang w:val="zh-CN"/>
        </w:rPr>
        <w:t xml:space="preserve">日期：   </w:t>
      </w:r>
      <w:r>
        <w:rPr>
          <w:rFonts w:hint="eastAsia" w:ascii="宋体" w:hAnsi="宋体"/>
          <w:color w:val="auto"/>
          <w:sz w:val="24"/>
          <w:szCs w:val="24"/>
          <w:lang w:val="zh-CN"/>
        </w:rPr>
        <w:t xml:space="preserve"> </w:t>
      </w:r>
      <w:r>
        <w:rPr>
          <w:rFonts w:hint="eastAsia" w:ascii="宋体" w:hAnsi="宋体"/>
          <w:color w:val="auto"/>
          <w:sz w:val="24"/>
          <w:szCs w:val="24"/>
        </w:rPr>
        <w:t>年    月    日</w:t>
      </w:r>
    </w:p>
    <w:p w14:paraId="5BA6BA19">
      <w:pPr>
        <w:pStyle w:val="9"/>
        <w:rPr>
          <w:rFonts w:hint="eastAsia"/>
          <w:color w:val="auto"/>
          <w:lang w:val="en-US" w:eastAsia="zh-CN"/>
        </w:rPr>
      </w:pPr>
    </w:p>
    <w:p w14:paraId="7EDE7391">
      <w:pPr>
        <w:pStyle w:val="9"/>
        <w:rPr>
          <w:color w:val="auto"/>
        </w:rPr>
      </w:pPr>
    </w:p>
    <w:p w14:paraId="004470E7">
      <w:pPr>
        <w:rPr>
          <w:rFonts w:hint="eastAsia" w:ascii="宋体" w:hAnsi="宋体"/>
          <w:b/>
          <w:bCs/>
          <w:color w:val="auto"/>
          <w:sz w:val="36"/>
          <w:szCs w:val="36"/>
        </w:rPr>
      </w:pPr>
      <w:r>
        <w:rPr>
          <w:rFonts w:hint="eastAsia" w:ascii="宋体" w:hAnsi="宋体"/>
          <w:b/>
          <w:bCs/>
          <w:color w:val="auto"/>
          <w:sz w:val="36"/>
          <w:szCs w:val="36"/>
        </w:rPr>
        <w:br w:type="page"/>
      </w:r>
    </w:p>
    <w:p w14:paraId="6FFD700A">
      <w:pPr>
        <w:autoSpaceDE w:val="0"/>
        <w:autoSpaceDN w:val="0"/>
        <w:adjustRightInd w:val="0"/>
        <w:spacing w:line="360" w:lineRule="auto"/>
        <w:jc w:val="center"/>
        <w:rPr>
          <w:rFonts w:ascii="宋体" w:hAnsi="宋体"/>
          <w:b/>
          <w:bCs/>
          <w:color w:val="auto"/>
          <w:sz w:val="36"/>
          <w:szCs w:val="36"/>
        </w:rPr>
      </w:pPr>
      <w:r>
        <w:rPr>
          <w:rFonts w:hint="eastAsia" w:ascii="宋体" w:hAnsi="宋体"/>
          <w:b/>
          <w:bCs/>
          <w:color w:val="auto"/>
          <w:sz w:val="36"/>
          <w:szCs w:val="36"/>
        </w:rPr>
        <w:t>五、其他资料（若有）</w:t>
      </w:r>
    </w:p>
    <w:p w14:paraId="457EDDD3">
      <w:pPr>
        <w:rPr>
          <w:color w:val="auto"/>
        </w:rPr>
      </w:pPr>
    </w:p>
    <w:p w14:paraId="7424451A">
      <w:pPr>
        <w:rPr>
          <w:color w:val="auto"/>
        </w:rPr>
      </w:pPr>
    </w:p>
    <w:p w14:paraId="784CCA85">
      <w:pPr>
        <w:spacing w:line="360" w:lineRule="auto"/>
        <w:jc w:val="center"/>
        <w:rPr>
          <w:rFonts w:ascii="宋体" w:hAnsi="宋体"/>
          <w:b/>
          <w:bCs/>
          <w:color w:val="auto"/>
          <w:sz w:val="28"/>
          <w:szCs w:val="28"/>
        </w:rPr>
      </w:pPr>
      <w:r>
        <w:rPr>
          <w:rFonts w:hint="eastAsia" w:ascii="宋体" w:hAnsi="宋体"/>
          <w:b/>
          <w:bCs/>
          <w:color w:val="auto"/>
          <w:sz w:val="28"/>
          <w:szCs w:val="28"/>
        </w:rPr>
        <w:t>除招标文件另有规定外，</w:t>
      </w:r>
      <w:r>
        <w:rPr>
          <w:rFonts w:hint="eastAsia" w:ascii="宋体" w:hAnsi="宋体"/>
          <w:b/>
          <w:bCs/>
          <w:color w:val="auto"/>
          <w:sz w:val="28"/>
          <w:szCs w:val="28"/>
          <w:lang w:val="en-US" w:eastAsia="zh-CN"/>
        </w:rPr>
        <w:t>投标人</w:t>
      </w:r>
      <w:r>
        <w:rPr>
          <w:rFonts w:hint="eastAsia" w:ascii="宋体" w:hAnsi="宋体"/>
          <w:b/>
          <w:bCs/>
          <w:color w:val="auto"/>
          <w:sz w:val="28"/>
          <w:szCs w:val="28"/>
        </w:rPr>
        <w:t>认为需要提交的其他证明材料或资料加盖</w:t>
      </w:r>
      <w:r>
        <w:rPr>
          <w:rFonts w:hint="eastAsia" w:ascii="宋体" w:hAnsi="宋体"/>
          <w:b/>
          <w:bCs/>
          <w:color w:val="auto"/>
          <w:sz w:val="28"/>
          <w:szCs w:val="28"/>
          <w:lang w:val="en-US" w:eastAsia="zh-CN"/>
        </w:rPr>
        <w:t>投标人</w:t>
      </w:r>
      <w:r>
        <w:rPr>
          <w:rFonts w:hint="eastAsia" w:ascii="宋体" w:hAnsi="宋体"/>
          <w:b/>
          <w:bCs/>
          <w:color w:val="auto"/>
          <w:sz w:val="28"/>
          <w:szCs w:val="28"/>
        </w:rPr>
        <w:t>的单位公章后应在此项下</w:t>
      </w:r>
      <w:r>
        <w:rPr>
          <w:rFonts w:hint="eastAsia" w:ascii="宋体" w:hAnsi="宋体"/>
          <w:b/>
          <w:bCs/>
          <w:color w:val="auto"/>
          <w:sz w:val="28"/>
          <w:szCs w:val="28"/>
          <w:lang w:val="en-US" w:eastAsia="zh-CN"/>
        </w:rPr>
        <w:t>提</w:t>
      </w:r>
      <w:r>
        <w:rPr>
          <w:rFonts w:hint="eastAsia" w:ascii="宋体" w:hAnsi="宋体"/>
          <w:b/>
          <w:bCs/>
          <w:color w:val="auto"/>
          <w:sz w:val="28"/>
          <w:szCs w:val="28"/>
        </w:rPr>
        <w:t>交。</w:t>
      </w:r>
    </w:p>
    <w:sectPr>
      <w:footerReference r:id="rId3" w:type="default"/>
      <w:pgSz w:w="11906" w:h="16838"/>
      <w:pgMar w:top="1440" w:right="1066"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14:paraId="4012017D">
        <w:pPr>
          <w:pStyle w:val="28"/>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E0E34"/>
    <w:multiLevelType w:val="singleLevel"/>
    <w:tmpl w:val="A3FE0E34"/>
    <w:lvl w:ilvl="0" w:tentative="0">
      <w:start w:val="1"/>
      <w:numFmt w:val="decimal"/>
      <w:suff w:val="nothing"/>
      <w:lvlText w:val="%1．"/>
      <w:lvlJc w:val="left"/>
      <w:pPr>
        <w:ind w:left="0" w:firstLine="400"/>
      </w:pPr>
      <w:rPr>
        <w:rFonts w:hint="default"/>
        <w:b w:val="0"/>
        <w:bCs w:val="0"/>
        <w:sz w:val="21"/>
        <w:szCs w:val="21"/>
      </w:rPr>
    </w:lvl>
  </w:abstractNum>
  <w:abstractNum w:abstractNumId="1">
    <w:nsid w:val="18F52A52"/>
    <w:multiLevelType w:val="multilevel"/>
    <w:tmpl w:val="18F52A52"/>
    <w:lvl w:ilvl="0" w:tentative="0">
      <w:start w:val="9"/>
      <w:numFmt w:val="decimal"/>
      <w:lvlText w:val="%1.1 "/>
      <w:lvlJc w:val="left"/>
      <w:pPr>
        <w:ind w:left="964" w:hanging="544"/>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59F817E8"/>
    <w:multiLevelType w:val="singleLevel"/>
    <w:tmpl w:val="59F817E8"/>
    <w:lvl w:ilvl="0" w:tentative="0">
      <w:start w:val="1"/>
      <w:numFmt w:val="chineseCounting"/>
      <w:pStyle w:val="133"/>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NzFiOTg2ZmQzYmE2NjAyMGY5ZDRkYTYzY2QxM2M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30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A7605"/>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19A6"/>
    <w:rsid w:val="00A24B3E"/>
    <w:rsid w:val="00A277C0"/>
    <w:rsid w:val="00A3470B"/>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B7A64"/>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E4E5E"/>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2DE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1B48"/>
    <w:rsid w:val="00C663E4"/>
    <w:rsid w:val="00C73D5A"/>
    <w:rsid w:val="00C752DA"/>
    <w:rsid w:val="00C755B7"/>
    <w:rsid w:val="00C819B2"/>
    <w:rsid w:val="00C830B5"/>
    <w:rsid w:val="00C8401E"/>
    <w:rsid w:val="00C86524"/>
    <w:rsid w:val="00C86620"/>
    <w:rsid w:val="00C86722"/>
    <w:rsid w:val="00C91140"/>
    <w:rsid w:val="00C9115E"/>
    <w:rsid w:val="00C91C98"/>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0770D"/>
    <w:rsid w:val="00E10FB2"/>
    <w:rsid w:val="00E11863"/>
    <w:rsid w:val="00E15234"/>
    <w:rsid w:val="00E16676"/>
    <w:rsid w:val="00E17B80"/>
    <w:rsid w:val="00E202B0"/>
    <w:rsid w:val="00E22389"/>
    <w:rsid w:val="00E2401D"/>
    <w:rsid w:val="00E25CED"/>
    <w:rsid w:val="00E26331"/>
    <w:rsid w:val="00E32D5A"/>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4547"/>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33682"/>
    <w:rsid w:val="012B0CAD"/>
    <w:rsid w:val="012C2953"/>
    <w:rsid w:val="01542D3D"/>
    <w:rsid w:val="019B53E2"/>
    <w:rsid w:val="01B6046E"/>
    <w:rsid w:val="01E05633"/>
    <w:rsid w:val="01EC3E90"/>
    <w:rsid w:val="01EF3980"/>
    <w:rsid w:val="01FD7E4B"/>
    <w:rsid w:val="021D1CB0"/>
    <w:rsid w:val="024912E2"/>
    <w:rsid w:val="02637302"/>
    <w:rsid w:val="02F456F2"/>
    <w:rsid w:val="03012030"/>
    <w:rsid w:val="03766107"/>
    <w:rsid w:val="037759DB"/>
    <w:rsid w:val="0381685A"/>
    <w:rsid w:val="03836A76"/>
    <w:rsid w:val="038A574A"/>
    <w:rsid w:val="03913B90"/>
    <w:rsid w:val="03A26824"/>
    <w:rsid w:val="03A569EC"/>
    <w:rsid w:val="03B60BF9"/>
    <w:rsid w:val="03B92498"/>
    <w:rsid w:val="03D60903"/>
    <w:rsid w:val="03EE0393"/>
    <w:rsid w:val="0405748B"/>
    <w:rsid w:val="041D47D5"/>
    <w:rsid w:val="04214406"/>
    <w:rsid w:val="04714B20"/>
    <w:rsid w:val="047D12ED"/>
    <w:rsid w:val="048263FC"/>
    <w:rsid w:val="04932CE9"/>
    <w:rsid w:val="04A515D1"/>
    <w:rsid w:val="04A647CA"/>
    <w:rsid w:val="04AD20F7"/>
    <w:rsid w:val="04B54A0D"/>
    <w:rsid w:val="04C80BE4"/>
    <w:rsid w:val="04D035F5"/>
    <w:rsid w:val="04EE7A6C"/>
    <w:rsid w:val="051E2E61"/>
    <w:rsid w:val="05352CCF"/>
    <w:rsid w:val="05493A06"/>
    <w:rsid w:val="055E32F7"/>
    <w:rsid w:val="05D37841"/>
    <w:rsid w:val="05E25CD6"/>
    <w:rsid w:val="05E530D0"/>
    <w:rsid w:val="06096508"/>
    <w:rsid w:val="06191FF7"/>
    <w:rsid w:val="06222576"/>
    <w:rsid w:val="062736E9"/>
    <w:rsid w:val="064C13A1"/>
    <w:rsid w:val="066E57BB"/>
    <w:rsid w:val="066E7569"/>
    <w:rsid w:val="068B5435"/>
    <w:rsid w:val="06926219"/>
    <w:rsid w:val="06A92350"/>
    <w:rsid w:val="06D21BAA"/>
    <w:rsid w:val="06D62C66"/>
    <w:rsid w:val="06DA22D0"/>
    <w:rsid w:val="06E96BF0"/>
    <w:rsid w:val="070457D8"/>
    <w:rsid w:val="07061550"/>
    <w:rsid w:val="07084DDF"/>
    <w:rsid w:val="070E1F6A"/>
    <w:rsid w:val="071A324D"/>
    <w:rsid w:val="07247C28"/>
    <w:rsid w:val="077562F1"/>
    <w:rsid w:val="078801B7"/>
    <w:rsid w:val="07943000"/>
    <w:rsid w:val="079D306C"/>
    <w:rsid w:val="07D433FC"/>
    <w:rsid w:val="07D9342B"/>
    <w:rsid w:val="07F963D9"/>
    <w:rsid w:val="08134AB0"/>
    <w:rsid w:val="081C4DA3"/>
    <w:rsid w:val="081F790F"/>
    <w:rsid w:val="082A6F47"/>
    <w:rsid w:val="082F6A38"/>
    <w:rsid w:val="08326375"/>
    <w:rsid w:val="084D7E1A"/>
    <w:rsid w:val="08514A4D"/>
    <w:rsid w:val="085B3B1D"/>
    <w:rsid w:val="085B58CB"/>
    <w:rsid w:val="085F360E"/>
    <w:rsid w:val="085F3D4C"/>
    <w:rsid w:val="086E3851"/>
    <w:rsid w:val="08DD4532"/>
    <w:rsid w:val="08E7715F"/>
    <w:rsid w:val="08ED638C"/>
    <w:rsid w:val="08F33D56"/>
    <w:rsid w:val="08FA3336"/>
    <w:rsid w:val="08FD1430"/>
    <w:rsid w:val="09134FF3"/>
    <w:rsid w:val="094028F6"/>
    <w:rsid w:val="09546EAB"/>
    <w:rsid w:val="096E2339"/>
    <w:rsid w:val="09706F3C"/>
    <w:rsid w:val="097E5D15"/>
    <w:rsid w:val="0995305F"/>
    <w:rsid w:val="09B131EA"/>
    <w:rsid w:val="09B259BF"/>
    <w:rsid w:val="09B30AD0"/>
    <w:rsid w:val="09BC05EC"/>
    <w:rsid w:val="09C15C02"/>
    <w:rsid w:val="09E0077E"/>
    <w:rsid w:val="09ED0EE7"/>
    <w:rsid w:val="0A091B50"/>
    <w:rsid w:val="0A287A2F"/>
    <w:rsid w:val="0A375EC4"/>
    <w:rsid w:val="0A4E393A"/>
    <w:rsid w:val="0A542C86"/>
    <w:rsid w:val="0A563076"/>
    <w:rsid w:val="0A696084"/>
    <w:rsid w:val="0A831A43"/>
    <w:rsid w:val="0A8530D4"/>
    <w:rsid w:val="0A9926DB"/>
    <w:rsid w:val="0A9E7CF1"/>
    <w:rsid w:val="0AAF0151"/>
    <w:rsid w:val="0AF719BF"/>
    <w:rsid w:val="0B5D195B"/>
    <w:rsid w:val="0B5F3925"/>
    <w:rsid w:val="0B75558A"/>
    <w:rsid w:val="0B9F1F73"/>
    <w:rsid w:val="0BD15671"/>
    <w:rsid w:val="0BE856C8"/>
    <w:rsid w:val="0C1E10EA"/>
    <w:rsid w:val="0C230DF6"/>
    <w:rsid w:val="0C252478"/>
    <w:rsid w:val="0C2B52B4"/>
    <w:rsid w:val="0C3B561C"/>
    <w:rsid w:val="0C41302A"/>
    <w:rsid w:val="0C4274CE"/>
    <w:rsid w:val="0C430B50"/>
    <w:rsid w:val="0C4843B9"/>
    <w:rsid w:val="0C4A0131"/>
    <w:rsid w:val="0C6A07D3"/>
    <w:rsid w:val="0C774C9E"/>
    <w:rsid w:val="0C9910B8"/>
    <w:rsid w:val="0CBE28CD"/>
    <w:rsid w:val="0CCA74C4"/>
    <w:rsid w:val="0CD619C5"/>
    <w:rsid w:val="0CF126F8"/>
    <w:rsid w:val="0CF54541"/>
    <w:rsid w:val="0D076022"/>
    <w:rsid w:val="0D441E2F"/>
    <w:rsid w:val="0D4C612B"/>
    <w:rsid w:val="0D71793F"/>
    <w:rsid w:val="0D9F23D2"/>
    <w:rsid w:val="0DB61F12"/>
    <w:rsid w:val="0DBA2EC3"/>
    <w:rsid w:val="0DBC0BBA"/>
    <w:rsid w:val="0DDF6F9F"/>
    <w:rsid w:val="0DE46363"/>
    <w:rsid w:val="0DE93979"/>
    <w:rsid w:val="0DE95727"/>
    <w:rsid w:val="0DED16BC"/>
    <w:rsid w:val="0E0D7668"/>
    <w:rsid w:val="0E172295"/>
    <w:rsid w:val="0E1E3623"/>
    <w:rsid w:val="0E4B63E2"/>
    <w:rsid w:val="0E96408F"/>
    <w:rsid w:val="0EA87391"/>
    <w:rsid w:val="0F1F3AF7"/>
    <w:rsid w:val="0F317386"/>
    <w:rsid w:val="0F3A0931"/>
    <w:rsid w:val="0F4C41C0"/>
    <w:rsid w:val="0F4D4EBF"/>
    <w:rsid w:val="0F615EBD"/>
    <w:rsid w:val="0F6239E3"/>
    <w:rsid w:val="0F670FFA"/>
    <w:rsid w:val="0FA45DAA"/>
    <w:rsid w:val="0FA61B22"/>
    <w:rsid w:val="0FA77648"/>
    <w:rsid w:val="0FB44B2D"/>
    <w:rsid w:val="0FC24482"/>
    <w:rsid w:val="0FCB77DB"/>
    <w:rsid w:val="0FCE1079"/>
    <w:rsid w:val="0FD3668F"/>
    <w:rsid w:val="10375DC2"/>
    <w:rsid w:val="10594DE6"/>
    <w:rsid w:val="105C0433"/>
    <w:rsid w:val="10634983"/>
    <w:rsid w:val="10BE733F"/>
    <w:rsid w:val="10C55FD8"/>
    <w:rsid w:val="10C761F4"/>
    <w:rsid w:val="10CD3EDD"/>
    <w:rsid w:val="11036B00"/>
    <w:rsid w:val="110411F6"/>
    <w:rsid w:val="11074842"/>
    <w:rsid w:val="11171C40"/>
    <w:rsid w:val="11274AFD"/>
    <w:rsid w:val="112C24FB"/>
    <w:rsid w:val="11314F04"/>
    <w:rsid w:val="11397C8E"/>
    <w:rsid w:val="1143447F"/>
    <w:rsid w:val="115A677B"/>
    <w:rsid w:val="11765524"/>
    <w:rsid w:val="118070DE"/>
    <w:rsid w:val="11A037E6"/>
    <w:rsid w:val="11A8215F"/>
    <w:rsid w:val="11BF511D"/>
    <w:rsid w:val="11C036B5"/>
    <w:rsid w:val="12020DB2"/>
    <w:rsid w:val="12527D3F"/>
    <w:rsid w:val="12706417"/>
    <w:rsid w:val="128A400C"/>
    <w:rsid w:val="12AF5192"/>
    <w:rsid w:val="12B04A66"/>
    <w:rsid w:val="12E43EC3"/>
    <w:rsid w:val="12F47048"/>
    <w:rsid w:val="12F6691D"/>
    <w:rsid w:val="131316FC"/>
    <w:rsid w:val="13152493"/>
    <w:rsid w:val="131B6383"/>
    <w:rsid w:val="132A0CCC"/>
    <w:rsid w:val="13311FEB"/>
    <w:rsid w:val="133E2C05"/>
    <w:rsid w:val="135D2E40"/>
    <w:rsid w:val="13734411"/>
    <w:rsid w:val="13806B2E"/>
    <w:rsid w:val="139A7BF0"/>
    <w:rsid w:val="13E64BE3"/>
    <w:rsid w:val="13ED41C3"/>
    <w:rsid w:val="13FD19BA"/>
    <w:rsid w:val="14157276"/>
    <w:rsid w:val="141B23B3"/>
    <w:rsid w:val="142542CE"/>
    <w:rsid w:val="142C636E"/>
    <w:rsid w:val="144813FA"/>
    <w:rsid w:val="14634486"/>
    <w:rsid w:val="148D56A6"/>
    <w:rsid w:val="14982720"/>
    <w:rsid w:val="14B940A6"/>
    <w:rsid w:val="14DE1D5E"/>
    <w:rsid w:val="14F5597A"/>
    <w:rsid w:val="15086DDB"/>
    <w:rsid w:val="151614F8"/>
    <w:rsid w:val="15233C15"/>
    <w:rsid w:val="152F6116"/>
    <w:rsid w:val="15305842"/>
    <w:rsid w:val="154C316C"/>
    <w:rsid w:val="155C2C83"/>
    <w:rsid w:val="15604521"/>
    <w:rsid w:val="156262F2"/>
    <w:rsid w:val="157955E3"/>
    <w:rsid w:val="159643E7"/>
    <w:rsid w:val="15AE3611"/>
    <w:rsid w:val="15B36D47"/>
    <w:rsid w:val="15D05B4B"/>
    <w:rsid w:val="15FB4C34"/>
    <w:rsid w:val="161F618A"/>
    <w:rsid w:val="1625164B"/>
    <w:rsid w:val="162A7D8F"/>
    <w:rsid w:val="169F1079"/>
    <w:rsid w:val="16E178E4"/>
    <w:rsid w:val="16E318AE"/>
    <w:rsid w:val="16F5513D"/>
    <w:rsid w:val="170A508C"/>
    <w:rsid w:val="17196413"/>
    <w:rsid w:val="17345C65"/>
    <w:rsid w:val="17650515"/>
    <w:rsid w:val="17740758"/>
    <w:rsid w:val="17797B1C"/>
    <w:rsid w:val="17872239"/>
    <w:rsid w:val="17A96653"/>
    <w:rsid w:val="17C90AA4"/>
    <w:rsid w:val="17D411F6"/>
    <w:rsid w:val="17DE3E23"/>
    <w:rsid w:val="17FF022F"/>
    <w:rsid w:val="18003D99"/>
    <w:rsid w:val="1869193F"/>
    <w:rsid w:val="186B1B5B"/>
    <w:rsid w:val="186E33F9"/>
    <w:rsid w:val="187B2616"/>
    <w:rsid w:val="18D314AE"/>
    <w:rsid w:val="18D3325C"/>
    <w:rsid w:val="18FE477D"/>
    <w:rsid w:val="190D49C0"/>
    <w:rsid w:val="19287A4C"/>
    <w:rsid w:val="192C3160"/>
    <w:rsid w:val="19680B28"/>
    <w:rsid w:val="19A075E2"/>
    <w:rsid w:val="19BB08C0"/>
    <w:rsid w:val="19CA2E45"/>
    <w:rsid w:val="1A0409C6"/>
    <w:rsid w:val="1A0F7B3F"/>
    <w:rsid w:val="1A11228E"/>
    <w:rsid w:val="1A9F3D3E"/>
    <w:rsid w:val="1AA90718"/>
    <w:rsid w:val="1ACF4F4E"/>
    <w:rsid w:val="1AF446CC"/>
    <w:rsid w:val="1AF837C8"/>
    <w:rsid w:val="1B2F50C2"/>
    <w:rsid w:val="1B391A9C"/>
    <w:rsid w:val="1B516EFF"/>
    <w:rsid w:val="1B601C8B"/>
    <w:rsid w:val="1B6A60FA"/>
    <w:rsid w:val="1B740D26"/>
    <w:rsid w:val="1B75684C"/>
    <w:rsid w:val="1B79458F"/>
    <w:rsid w:val="1BA22C90"/>
    <w:rsid w:val="1BE52C27"/>
    <w:rsid w:val="1BE614F8"/>
    <w:rsid w:val="1BEC4F8A"/>
    <w:rsid w:val="1C0C5403"/>
    <w:rsid w:val="1C4B0702"/>
    <w:rsid w:val="1C5D5C5E"/>
    <w:rsid w:val="1C7A6810"/>
    <w:rsid w:val="1C856E3A"/>
    <w:rsid w:val="1C8C02F2"/>
    <w:rsid w:val="1CDC0B3F"/>
    <w:rsid w:val="1CE04199"/>
    <w:rsid w:val="1CEE5948"/>
    <w:rsid w:val="1CF2284B"/>
    <w:rsid w:val="1D007F39"/>
    <w:rsid w:val="1D04257E"/>
    <w:rsid w:val="1D2C4692"/>
    <w:rsid w:val="1D774AFE"/>
    <w:rsid w:val="1D8658DB"/>
    <w:rsid w:val="1D990F18"/>
    <w:rsid w:val="1D9C27B6"/>
    <w:rsid w:val="1DB21FDA"/>
    <w:rsid w:val="1DBA2C3C"/>
    <w:rsid w:val="1DD72298"/>
    <w:rsid w:val="1DD91315"/>
    <w:rsid w:val="1DF95513"/>
    <w:rsid w:val="1E032835"/>
    <w:rsid w:val="1E0B2298"/>
    <w:rsid w:val="1E0D0FBE"/>
    <w:rsid w:val="1E1B2345"/>
    <w:rsid w:val="1E2D4DC7"/>
    <w:rsid w:val="1E390005"/>
    <w:rsid w:val="1E522E75"/>
    <w:rsid w:val="1E54724F"/>
    <w:rsid w:val="1E796654"/>
    <w:rsid w:val="1EBA28E9"/>
    <w:rsid w:val="1EC21DA9"/>
    <w:rsid w:val="1EE73F05"/>
    <w:rsid w:val="1F182311"/>
    <w:rsid w:val="1F262338"/>
    <w:rsid w:val="1F6E4B54"/>
    <w:rsid w:val="1F775289"/>
    <w:rsid w:val="1F896D6A"/>
    <w:rsid w:val="1F8D0609"/>
    <w:rsid w:val="1FED72F9"/>
    <w:rsid w:val="1FEE1856"/>
    <w:rsid w:val="200A1C59"/>
    <w:rsid w:val="20140D2A"/>
    <w:rsid w:val="20254CE5"/>
    <w:rsid w:val="20503157"/>
    <w:rsid w:val="205E3D53"/>
    <w:rsid w:val="206D21E8"/>
    <w:rsid w:val="20863AF3"/>
    <w:rsid w:val="208B793A"/>
    <w:rsid w:val="20CA5074"/>
    <w:rsid w:val="20EC135F"/>
    <w:rsid w:val="21046B4F"/>
    <w:rsid w:val="21465C8D"/>
    <w:rsid w:val="214C62A1"/>
    <w:rsid w:val="21582D03"/>
    <w:rsid w:val="21751354"/>
    <w:rsid w:val="21A1039B"/>
    <w:rsid w:val="21C50A94"/>
    <w:rsid w:val="21D02A2F"/>
    <w:rsid w:val="2205092A"/>
    <w:rsid w:val="220D3C83"/>
    <w:rsid w:val="2221328A"/>
    <w:rsid w:val="222D66DE"/>
    <w:rsid w:val="222F77EC"/>
    <w:rsid w:val="2230171F"/>
    <w:rsid w:val="2241392C"/>
    <w:rsid w:val="22484CBB"/>
    <w:rsid w:val="22561186"/>
    <w:rsid w:val="22665141"/>
    <w:rsid w:val="226C09A9"/>
    <w:rsid w:val="226C6BFB"/>
    <w:rsid w:val="226D4721"/>
    <w:rsid w:val="22A31EF1"/>
    <w:rsid w:val="22AF0896"/>
    <w:rsid w:val="22B1460E"/>
    <w:rsid w:val="22BC604C"/>
    <w:rsid w:val="22C24A6D"/>
    <w:rsid w:val="22D402FC"/>
    <w:rsid w:val="23062446"/>
    <w:rsid w:val="23142AB9"/>
    <w:rsid w:val="23144B9D"/>
    <w:rsid w:val="232748D0"/>
    <w:rsid w:val="232A43C0"/>
    <w:rsid w:val="23623B5A"/>
    <w:rsid w:val="236E2BFE"/>
    <w:rsid w:val="23737B15"/>
    <w:rsid w:val="23A221A9"/>
    <w:rsid w:val="23A95875"/>
    <w:rsid w:val="23C91E2B"/>
    <w:rsid w:val="23DF164F"/>
    <w:rsid w:val="23EE3640"/>
    <w:rsid w:val="23F21382"/>
    <w:rsid w:val="23F549CE"/>
    <w:rsid w:val="23FB5291"/>
    <w:rsid w:val="2435301D"/>
    <w:rsid w:val="246758CC"/>
    <w:rsid w:val="247E2C16"/>
    <w:rsid w:val="24877D1C"/>
    <w:rsid w:val="249266C1"/>
    <w:rsid w:val="24A843FE"/>
    <w:rsid w:val="24AD52A9"/>
    <w:rsid w:val="24CF521F"/>
    <w:rsid w:val="250F1AC0"/>
    <w:rsid w:val="251C16DF"/>
    <w:rsid w:val="253157EC"/>
    <w:rsid w:val="25457290"/>
    <w:rsid w:val="254C3116"/>
    <w:rsid w:val="25625A3E"/>
    <w:rsid w:val="25983863"/>
    <w:rsid w:val="25A07F99"/>
    <w:rsid w:val="25A12EDD"/>
    <w:rsid w:val="25A8619C"/>
    <w:rsid w:val="25AE3087"/>
    <w:rsid w:val="264277FB"/>
    <w:rsid w:val="2677791D"/>
    <w:rsid w:val="268D7140"/>
    <w:rsid w:val="269F0C21"/>
    <w:rsid w:val="26AB0DC0"/>
    <w:rsid w:val="26E649A4"/>
    <w:rsid w:val="271D7F66"/>
    <w:rsid w:val="272950BB"/>
    <w:rsid w:val="27400656"/>
    <w:rsid w:val="27402404"/>
    <w:rsid w:val="27764078"/>
    <w:rsid w:val="27912C60"/>
    <w:rsid w:val="27952750"/>
    <w:rsid w:val="27987D44"/>
    <w:rsid w:val="27E86D24"/>
    <w:rsid w:val="27ED4765"/>
    <w:rsid w:val="27F05BD9"/>
    <w:rsid w:val="27F8683B"/>
    <w:rsid w:val="28180C8B"/>
    <w:rsid w:val="281C0984"/>
    <w:rsid w:val="282615FA"/>
    <w:rsid w:val="28497097"/>
    <w:rsid w:val="286A44AB"/>
    <w:rsid w:val="286D547B"/>
    <w:rsid w:val="28702875"/>
    <w:rsid w:val="289E73E3"/>
    <w:rsid w:val="28BC2A61"/>
    <w:rsid w:val="28D728F5"/>
    <w:rsid w:val="28FF145D"/>
    <w:rsid w:val="2907142C"/>
    <w:rsid w:val="290F02E0"/>
    <w:rsid w:val="29254634"/>
    <w:rsid w:val="29325D7D"/>
    <w:rsid w:val="293F0351"/>
    <w:rsid w:val="29467F8D"/>
    <w:rsid w:val="295D104C"/>
    <w:rsid w:val="298B24AE"/>
    <w:rsid w:val="29A22F02"/>
    <w:rsid w:val="29B37F8F"/>
    <w:rsid w:val="29BB5D72"/>
    <w:rsid w:val="29DD7CF8"/>
    <w:rsid w:val="29E74DB9"/>
    <w:rsid w:val="29EA4E2F"/>
    <w:rsid w:val="29EA6657"/>
    <w:rsid w:val="29FB2613"/>
    <w:rsid w:val="2A0326A8"/>
    <w:rsid w:val="2A04662F"/>
    <w:rsid w:val="2A132353"/>
    <w:rsid w:val="2A241B69"/>
    <w:rsid w:val="2A2B5C09"/>
    <w:rsid w:val="2A45420D"/>
    <w:rsid w:val="2A6308E4"/>
    <w:rsid w:val="2A7219E9"/>
    <w:rsid w:val="2A8D1AFD"/>
    <w:rsid w:val="2A9B79AB"/>
    <w:rsid w:val="2AAD7DB1"/>
    <w:rsid w:val="2AE61515"/>
    <w:rsid w:val="2AE8528D"/>
    <w:rsid w:val="2B006133"/>
    <w:rsid w:val="2B1E480B"/>
    <w:rsid w:val="2B2362C5"/>
    <w:rsid w:val="2B3109E2"/>
    <w:rsid w:val="2B470C3D"/>
    <w:rsid w:val="2B595DAC"/>
    <w:rsid w:val="2B6A7A50"/>
    <w:rsid w:val="2B6F5066"/>
    <w:rsid w:val="2BAF7B59"/>
    <w:rsid w:val="2BEF7F55"/>
    <w:rsid w:val="2BFD19C7"/>
    <w:rsid w:val="2C2422F5"/>
    <w:rsid w:val="2C3B13EC"/>
    <w:rsid w:val="2C3F2C8B"/>
    <w:rsid w:val="2C6223F8"/>
    <w:rsid w:val="2C923702"/>
    <w:rsid w:val="2CC87124"/>
    <w:rsid w:val="2CD7383A"/>
    <w:rsid w:val="2CF06BD2"/>
    <w:rsid w:val="2D4239AC"/>
    <w:rsid w:val="2D4E7724"/>
    <w:rsid w:val="2D724278"/>
    <w:rsid w:val="2D7A3E03"/>
    <w:rsid w:val="2DBE4083"/>
    <w:rsid w:val="2DDB26AF"/>
    <w:rsid w:val="2DEC299E"/>
    <w:rsid w:val="2DF126AA"/>
    <w:rsid w:val="2DF301D1"/>
    <w:rsid w:val="2DFA155F"/>
    <w:rsid w:val="2E013B06"/>
    <w:rsid w:val="2E0979F4"/>
    <w:rsid w:val="2E2D6347"/>
    <w:rsid w:val="2E2E1209"/>
    <w:rsid w:val="2E4C168F"/>
    <w:rsid w:val="2E6C3ADF"/>
    <w:rsid w:val="2EB01214"/>
    <w:rsid w:val="2EB1171F"/>
    <w:rsid w:val="2EBA2A9C"/>
    <w:rsid w:val="2EBE21A2"/>
    <w:rsid w:val="2ECF4CC1"/>
    <w:rsid w:val="2F2A7C22"/>
    <w:rsid w:val="2F5127C0"/>
    <w:rsid w:val="2F6C4B31"/>
    <w:rsid w:val="2F7B047E"/>
    <w:rsid w:val="2FB0023E"/>
    <w:rsid w:val="2FB4573E"/>
    <w:rsid w:val="2FC82F97"/>
    <w:rsid w:val="3029612C"/>
    <w:rsid w:val="30492C9C"/>
    <w:rsid w:val="30586A11"/>
    <w:rsid w:val="3062163D"/>
    <w:rsid w:val="30681153"/>
    <w:rsid w:val="30760C45"/>
    <w:rsid w:val="307F3F9D"/>
    <w:rsid w:val="30807DF5"/>
    <w:rsid w:val="30963095"/>
    <w:rsid w:val="30A9101A"/>
    <w:rsid w:val="30CB0F91"/>
    <w:rsid w:val="30D27C22"/>
    <w:rsid w:val="30DA5678"/>
    <w:rsid w:val="30E46F60"/>
    <w:rsid w:val="310E0E7D"/>
    <w:rsid w:val="311C17EC"/>
    <w:rsid w:val="31434FCB"/>
    <w:rsid w:val="315F16D9"/>
    <w:rsid w:val="3186135C"/>
    <w:rsid w:val="3199108F"/>
    <w:rsid w:val="31C15EBF"/>
    <w:rsid w:val="31E06CBE"/>
    <w:rsid w:val="31EC68A1"/>
    <w:rsid w:val="31F97D80"/>
    <w:rsid w:val="322E7374"/>
    <w:rsid w:val="3265708D"/>
    <w:rsid w:val="32723F14"/>
    <w:rsid w:val="327411B4"/>
    <w:rsid w:val="32AD108D"/>
    <w:rsid w:val="32B819E9"/>
    <w:rsid w:val="3321433A"/>
    <w:rsid w:val="33387238"/>
    <w:rsid w:val="333F7004"/>
    <w:rsid w:val="335039CF"/>
    <w:rsid w:val="33596D28"/>
    <w:rsid w:val="335A2AA0"/>
    <w:rsid w:val="337E22EA"/>
    <w:rsid w:val="33BE31EC"/>
    <w:rsid w:val="33D312C0"/>
    <w:rsid w:val="33DC5263"/>
    <w:rsid w:val="33F017D0"/>
    <w:rsid w:val="342A4220"/>
    <w:rsid w:val="34557883"/>
    <w:rsid w:val="346A286F"/>
    <w:rsid w:val="34865D22"/>
    <w:rsid w:val="348F6779"/>
    <w:rsid w:val="34C12DD7"/>
    <w:rsid w:val="34C46423"/>
    <w:rsid w:val="34E16FF4"/>
    <w:rsid w:val="35026F4B"/>
    <w:rsid w:val="350E769E"/>
    <w:rsid w:val="35246EC1"/>
    <w:rsid w:val="352B64A2"/>
    <w:rsid w:val="3538471B"/>
    <w:rsid w:val="35470E02"/>
    <w:rsid w:val="35490860"/>
    <w:rsid w:val="357065AB"/>
    <w:rsid w:val="35754B3B"/>
    <w:rsid w:val="3575771D"/>
    <w:rsid w:val="35AE2C2F"/>
    <w:rsid w:val="35BF4E3C"/>
    <w:rsid w:val="35C3492C"/>
    <w:rsid w:val="35E739D2"/>
    <w:rsid w:val="35FE5964"/>
    <w:rsid w:val="360311CD"/>
    <w:rsid w:val="360561CB"/>
    <w:rsid w:val="360D3DFA"/>
    <w:rsid w:val="36201D7F"/>
    <w:rsid w:val="36213401"/>
    <w:rsid w:val="362353CB"/>
    <w:rsid w:val="362F1FC2"/>
    <w:rsid w:val="36301896"/>
    <w:rsid w:val="36723C5D"/>
    <w:rsid w:val="368C0B05"/>
    <w:rsid w:val="36CE17DB"/>
    <w:rsid w:val="36F54FB9"/>
    <w:rsid w:val="36FF7BE6"/>
    <w:rsid w:val="3704175D"/>
    <w:rsid w:val="37152F66"/>
    <w:rsid w:val="37737C8C"/>
    <w:rsid w:val="3790083E"/>
    <w:rsid w:val="37991DE9"/>
    <w:rsid w:val="37C06D83"/>
    <w:rsid w:val="37CA02FA"/>
    <w:rsid w:val="37E1553E"/>
    <w:rsid w:val="37F25055"/>
    <w:rsid w:val="37FF66B2"/>
    <w:rsid w:val="382A1E1E"/>
    <w:rsid w:val="382B0567"/>
    <w:rsid w:val="38303DCF"/>
    <w:rsid w:val="384B3625"/>
    <w:rsid w:val="38546E21"/>
    <w:rsid w:val="386A5533"/>
    <w:rsid w:val="387E2D8D"/>
    <w:rsid w:val="38804D57"/>
    <w:rsid w:val="388879A9"/>
    <w:rsid w:val="38B13162"/>
    <w:rsid w:val="38B642D4"/>
    <w:rsid w:val="38D64977"/>
    <w:rsid w:val="38D97FC3"/>
    <w:rsid w:val="38E2156D"/>
    <w:rsid w:val="38FE7F5D"/>
    <w:rsid w:val="3914549F"/>
    <w:rsid w:val="39182437"/>
    <w:rsid w:val="392C27E9"/>
    <w:rsid w:val="39363667"/>
    <w:rsid w:val="395E2731"/>
    <w:rsid w:val="395F671A"/>
    <w:rsid w:val="399565E0"/>
    <w:rsid w:val="39A04AE8"/>
    <w:rsid w:val="39A532FE"/>
    <w:rsid w:val="39C11183"/>
    <w:rsid w:val="39C72511"/>
    <w:rsid w:val="39D52E80"/>
    <w:rsid w:val="39DF210D"/>
    <w:rsid w:val="39F20C48"/>
    <w:rsid w:val="39F33306"/>
    <w:rsid w:val="3A15181E"/>
    <w:rsid w:val="3A2F2590"/>
    <w:rsid w:val="3A331955"/>
    <w:rsid w:val="3A5003B7"/>
    <w:rsid w:val="3A575643"/>
    <w:rsid w:val="3A6164C2"/>
    <w:rsid w:val="3A6366DE"/>
    <w:rsid w:val="3A7B3A28"/>
    <w:rsid w:val="3A9073CB"/>
    <w:rsid w:val="3ACA72AB"/>
    <w:rsid w:val="3ADE7B13"/>
    <w:rsid w:val="3AE55345"/>
    <w:rsid w:val="3AEC0481"/>
    <w:rsid w:val="3B0B24F1"/>
    <w:rsid w:val="3B3D3DF1"/>
    <w:rsid w:val="3B3F2CA7"/>
    <w:rsid w:val="3B3F6FE1"/>
    <w:rsid w:val="3B4A33FA"/>
    <w:rsid w:val="3B6B584A"/>
    <w:rsid w:val="3B9D79CE"/>
    <w:rsid w:val="3BB05953"/>
    <w:rsid w:val="3BC96A15"/>
    <w:rsid w:val="3BD038FF"/>
    <w:rsid w:val="3C0D06AF"/>
    <w:rsid w:val="3C1A6F69"/>
    <w:rsid w:val="3C3814A4"/>
    <w:rsid w:val="3C3976F6"/>
    <w:rsid w:val="3C597D99"/>
    <w:rsid w:val="3C6777EE"/>
    <w:rsid w:val="3C8A7F52"/>
    <w:rsid w:val="3CBE5614"/>
    <w:rsid w:val="3CBE720A"/>
    <w:rsid w:val="3D0870C9"/>
    <w:rsid w:val="3D0C0967"/>
    <w:rsid w:val="3D0F2AA3"/>
    <w:rsid w:val="3D2D29A4"/>
    <w:rsid w:val="3D510A70"/>
    <w:rsid w:val="3D5347E8"/>
    <w:rsid w:val="3D592B49"/>
    <w:rsid w:val="3D6469F5"/>
    <w:rsid w:val="3D7B789B"/>
    <w:rsid w:val="3D8449A1"/>
    <w:rsid w:val="3D905224"/>
    <w:rsid w:val="3DB34D06"/>
    <w:rsid w:val="3E2241BA"/>
    <w:rsid w:val="3E3839DE"/>
    <w:rsid w:val="3E4405D4"/>
    <w:rsid w:val="3E5F540E"/>
    <w:rsid w:val="3E6264D3"/>
    <w:rsid w:val="3E6F5651"/>
    <w:rsid w:val="3E7802D0"/>
    <w:rsid w:val="3E7D0EBE"/>
    <w:rsid w:val="3E9230EE"/>
    <w:rsid w:val="3EA461EF"/>
    <w:rsid w:val="3EB23790"/>
    <w:rsid w:val="3EC26036"/>
    <w:rsid w:val="3ED90D1D"/>
    <w:rsid w:val="3F1D78CB"/>
    <w:rsid w:val="3F214472"/>
    <w:rsid w:val="3F3348D1"/>
    <w:rsid w:val="3F697211"/>
    <w:rsid w:val="3F892743"/>
    <w:rsid w:val="3F9427EE"/>
    <w:rsid w:val="3FA7706D"/>
    <w:rsid w:val="3FB157F6"/>
    <w:rsid w:val="3FC03C8B"/>
    <w:rsid w:val="3FF04570"/>
    <w:rsid w:val="4000052B"/>
    <w:rsid w:val="400319B6"/>
    <w:rsid w:val="401F30A7"/>
    <w:rsid w:val="40285976"/>
    <w:rsid w:val="40291830"/>
    <w:rsid w:val="402B55A8"/>
    <w:rsid w:val="40407B0C"/>
    <w:rsid w:val="40526A07"/>
    <w:rsid w:val="40582115"/>
    <w:rsid w:val="405A7C3B"/>
    <w:rsid w:val="40662A84"/>
    <w:rsid w:val="408E3D89"/>
    <w:rsid w:val="4093139F"/>
    <w:rsid w:val="409475F1"/>
    <w:rsid w:val="40B557B9"/>
    <w:rsid w:val="40E054DF"/>
    <w:rsid w:val="40F77B80"/>
    <w:rsid w:val="410127AD"/>
    <w:rsid w:val="41140732"/>
    <w:rsid w:val="413761CE"/>
    <w:rsid w:val="41467E22"/>
    <w:rsid w:val="41566655"/>
    <w:rsid w:val="41586871"/>
    <w:rsid w:val="41597EF3"/>
    <w:rsid w:val="41744D2D"/>
    <w:rsid w:val="41C04CFF"/>
    <w:rsid w:val="41C07DA5"/>
    <w:rsid w:val="41E87C16"/>
    <w:rsid w:val="41EE0F83"/>
    <w:rsid w:val="420D20E0"/>
    <w:rsid w:val="421668CC"/>
    <w:rsid w:val="421E2511"/>
    <w:rsid w:val="4251142E"/>
    <w:rsid w:val="42553EE8"/>
    <w:rsid w:val="42597579"/>
    <w:rsid w:val="425D1C65"/>
    <w:rsid w:val="4267663F"/>
    <w:rsid w:val="426C3C56"/>
    <w:rsid w:val="42764AD5"/>
    <w:rsid w:val="42890CAC"/>
    <w:rsid w:val="429C2B7C"/>
    <w:rsid w:val="42A3214C"/>
    <w:rsid w:val="42C972FA"/>
    <w:rsid w:val="42DF267A"/>
    <w:rsid w:val="42F425C9"/>
    <w:rsid w:val="4303280C"/>
    <w:rsid w:val="430976F7"/>
    <w:rsid w:val="430A1DED"/>
    <w:rsid w:val="43195B8C"/>
    <w:rsid w:val="433C41A2"/>
    <w:rsid w:val="43456981"/>
    <w:rsid w:val="43566DE0"/>
    <w:rsid w:val="438D0328"/>
    <w:rsid w:val="43A1478C"/>
    <w:rsid w:val="43A44C13"/>
    <w:rsid w:val="43AF4742"/>
    <w:rsid w:val="43B35FE0"/>
    <w:rsid w:val="43B86229"/>
    <w:rsid w:val="43C31F9B"/>
    <w:rsid w:val="43C71A8C"/>
    <w:rsid w:val="43CF0940"/>
    <w:rsid w:val="43DD305D"/>
    <w:rsid w:val="43DD4E0B"/>
    <w:rsid w:val="43E048FB"/>
    <w:rsid w:val="440659ED"/>
    <w:rsid w:val="4421268B"/>
    <w:rsid w:val="44366C11"/>
    <w:rsid w:val="446E0159"/>
    <w:rsid w:val="446F7753"/>
    <w:rsid w:val="4473751E"/>
    <w:rsid w:val="447A08AC"/>
    <w:rsid w:val="44872FC9"/>
    <w:rsid w:val="44894F93"/>
    <w:rsid w:val="44C9538F"/>
    <w:rsid w:val="45154A79"/>
    <w:rsid w:val="45172574"/>
    <w:rsid w:val="45172894"/>
    <w:rsid w:val="45303661"/>
    <w:rsid w:val="4541586E"/>
    <w:rsid w:val="454B658D"/>
    <w:rsid w:val="45596713"/>
    <w:rsid w:val="457479F1"/>
    <w:rsid w:val="45920F14"/>
    <w:rsid w:val="45EF52CA"/>
    <w:rsid w:val="460743C1"/>
    <w:rsid w:val="460A3EB2"/>
    <w:rsid w:val="462C3E28"/>
    <w:rsid w:val="46362EF9"/>
    <w:rsid w:val="465A6BE7"/>
    <w:rsid w:val="466067FC"/>
    <w:rsid w:val="468477C0"/>
    <w:rsid w:val="46D30747"/>
    <w:rsid w:val="46D324F5"/>
    <w:rsid w:val="46E57EA1"/>
    <w:rsid w:val="46F54B62"/>
    <w:rsid w:val="46F72323"/>
    <w:rsid w:val="46FD5B8F"/>
    <w:rsid w:val="47356D0C"/>
    <w:rsid w:val="475950F1"/>
    <w:rsid w:val="477318DA"/>
    <w:rsid w:val="478630AD"/>
    <w:rsid w:val="4799729B"/>
    <w:rsid w:val="479C4FDD"/>
    <w:rsid w:val="47A8002A"/>
    <w:rsid w:val="47B20A23"/>
    <w:rsid w:val="47F60B91"/>
    <w:rsid w:val="47FB247F"/>
    <w:rsid w:val="48275E19"/>
    <w:rsid w:val="482E29E8"/>
    <w:rsid w:val="48362D3C"/>
    <w:rsid w:val="48401E0D"/>
    <w:rsid w:val="48446627"/>
    <w:rsid w:val="48561630"/>
    <w:rsid w:val="48623B31"/>
    <w:rsid w:val="486378A9"/>
    <w:rsid w:val="4872277D"/>
    <w:rsid w:val="489D2DBB"/>
    <w:rsid w:val="48A453A1"/>
    <w:rsid w:val="48C62A1D"/>
    <w:rsid w:val="48C87355"/>
    <w:rsid w:val="48E07F96"/>
    <w:rsid w:val="492E7EB7"/>
    <w:rsid w:val="49496A9F"/>
    <w:rsid w:val="49777AB0"/>
    <w:rsid w:val="49843F7B"/>
    <w:rsid w:val="498521CD"/>
    <w:rsid w:val="498F6275"/>
    <w:rsid w:val="49B26D3A"/>
    <w:rsid w:val="49D93D12"/>
    <w:rsid w:val="49E233BC"/>
    <w:rsid w:val="49FA2907"/>
    <w:rsid w:val="4A027CEB"/>
    <w:rsid w:val="4A064990"/>
    <w:rsid w:val="4A446DDA"/>
    <w:rsid w:val="4A5860D3"/>
    <w:rsid w:val="4A5D4EF8"/>
    <w:rsid w:val="4A664445"/>
    <w:rsid w:val="4A7B537E"/>
    <w:rsid w:val="4A8835F7"/>
    <w:rsid w:val="4A895CED"/>
    <w:rsid w:val="4A952A50"/>
    <w:rsid w:val="4AB37C59"/>
    <w:rsid w:val="4AB50890"/>
    <w:rsid w:val="4ADA6548"/>
    <w:rsid w:val="4AFD41CB"/>
    <w:rsid w:val="4AFF7D5D"/>
    <w:rsid w:val="4B250A30"/>
    <w:rsid w:val="4B2E53B6"/>
    <w:rsid w:val="4B46598C"/>
    <w:rsid w:val="4B4B4D50"/>
    <w:rsid w:val="4B685902"/>
    <w:rsid w:val="4B6B0F4E"/>
    <w:rsid w:val="4B751DCD"/>
    <w:rsid w:val="4B7778F3"/>
    <w:rsid w:val="4BA34B8C"/>
    <w:rsid w:val="4BBA6B91"/>
    <w:rsid w:val="4BBC79FC"/>
    <w:rsid w:val="4BC468B1"/>
    <w:rsid w:val="4BCD7E5B"/>
    <w:rsid w:val="4BD016F9"/>
    <w:rsid w:val="4BEB208F"/>
    <w:rsid w:val="4BFB49C8"/>
    <w:rsid w:val="4BFB6776"/>
    <w:rsid w:val="4C172E84"/>
    <w:rsid w:val="4C1B2975"/>
    <w:rsid w:val="4C20442F"/>
    <w:rsid w:val="4C2757BD"/>
    <w:rsid w:val="4C52210E"/>
    <w:rsid w:val="4C6562E6"/>
    <w:rsid w:val="4C673E0C"/>
    <w:rsid w:val="4C7B3413"/>
    <w:rsid w:val="4C7B78B7"/>
    <w:rsid w:val="4C8B7B66"/>
    <w:rsid w:val="4C9F36CB"/>
    <w:rsid w:val="4CA162A3"/>
    <w:rsid w:val="4CAA3CF8"/>
    <w:rsid w:val="4CAF7561"/>
    <w:rsid w:val="4CC748AA"/>
    <w:rsid w:val="4CCA439B"/>
    <w:rsid w:val="4CCA6149"/>
    <w:rsid w:val="4CD07C03"/>
    <w:rsid w:val="4CF02F19"/>
    <w:rsid w:val="4D0C49B3"/>
    <w:rsid w:val="4D41465D"/>
    <w:rsid w:val="4D6B792C"/>
    <w:rsid w:val="4D6D14A3"/>
    <w:rsid w:val="4D7B7443"/>
    <w:rsid w:val="4D8E61C0"/>
    <w:rsid w:val="4D902EEE"/>
    <w:rsid w:val="4D994499"/>
    <w:rsid w:val="4E0F02B7"/>
    <w:rsid w:val="4E19162E"/>
    <w:rsid w:val="4E2B2C17"/>
    <w:rsid w:val="4E5E4D9B"/>
    <w:rsid w:val="4E604CCE"/>
    <w:rsid w:val="4E636855"/>
    <w:rsid w:val="4E63710A"/>
    <w:rsid w:val="4E6D3230"/>
    <w:rsid w:val="4E8862BB"/>
    <w:rsid w:val="4E9D5DD2"/>
    <w:rsid w:val="4EC5306C"/>
    <w:rsid w:val="4ECF5C98"/>
    <w:rsid w:val="4EEF1E97"/>
    <w:rsid w:val="4F17629D"/>
    <w:rsid w:val="4F1E452A"/>
    <w:rsid w:val="4F3F2E1E"/>
    <w:rsid w:val="4F4641AC"/>
    <w:rsid w:val="4F482A80"/>
    <w:rsid w:val="4F5543EF"/>
    <w:rsid w:val="4F5D14F6"/>
    <w:rsid w:val="4F6B7A5F"/>
    <w:rsid w:val="4F7D56F4"/>
    <w:rsid w:val="4F822D0B"/>
    <w:rsid w:val="4FA62E9D"/>
    <w:rsid w:val="4FB25A6F"/>
    <w:rsid w:val="4FB51743"/>
    <w:rsid w:val="4FC96B8B"/>
    <w:rsid w:val="4FF754A7"/>
    <w:rsid w:val="50064DCF"/>
    <w:rsid w:val="500D49E0"/>
    <w:rsid w:val="500E27F0"/>
    <w:rsid w:val="503B1837"/>
    <w:rsid w:val="504F1E7F"/>
    <w:rsid w:val="50526B81"/>
    <w:rsid w:val="505F4DFA"/>
    <w:rsid w:val="507C775A"/>
    <w:rsid w:val="50D41344"/>
    <w:rsid w:val="50DE21C3"/>
    <w:rsid w:val="50FC089B"/>
    <w:rsid w:val="50FC2CFB"/>
    <w:rsid w:val="510540EB"/>
    <w:rsid w:val="512D20F5"/>
    <w:rsid w:val="514F4930"/>
    <w:rsid w:val="51711289"/>
    <w:rsid w:val="51864D34"/>
    <w:rsid w:val="518E5997"/>
    <w:rsid w:val="51D32898"/>
    <w:rsid w:val="51FD48CA"/>
    <w:rsid w:val="52202057"/>
    <w:rsid w:val="524A41CF"/>
    <w:rsid w:val="52666914"/>
    <w:rsid w:val="52972F71"/>
    <w:rsid w:val="52A42F98"/>
    <w:rsid w:val="52A66D10"/>
    <w:rsid w:val="52B70F1D"/>
    <w:rsid w:val="52CD6993"/>
    <w:rsid w:val="52D31447"/>
    <w:rsid w:val="52D63A99"/>
    <w:rsid w:val="52F65EE9"/>
    <w:rsid w:val="52F87468"/>
    <w:rsid w:val="53000B16"/>
    <w:rsid w:val="53114AD1"/>
    <w:rsid w:val="539E061B"/>
    <w:rsid w:val="53AF1153"/>
    <w:rsid w:val="53B84F4D"/>
    <w:rsid w:val="53C94B67"/>
    <w:rsid w:val="53D578AD"/>
    <w:rsid w:val="53DC242E"/>
    <w:rsid w:val="540208BE"/>
    <w:rsid w:val="54244028"/>
    <w:rsid w:val="54322F51"/>
    <w:rsid w:val="546B1FBF"/>
    <w:rsid w:val="547D1CF3"/>
    <w:rsid w:val="54880DC3"/>
    <w:rsid w:val="548B440F"/>
    <w:rsid w:val="54994D7E"/>
    <w:rsid w:val="54A43723"/>
    <w:rsid w:val="54A85124"/>
    <w:rsid w:val="54C87D31"/>
    <w:rsid w:val="54D77655"/>
    <w:rsid w:val="54E83610"/>
    <w:rsid w:val="54EF0550"/>
    <w:rsid w:val="54F06C40"/>
    <w:rsid w:val="54F9581D"/>
    <w:rsid w:val="5523289A"/>
    <w:rsid w:val="5539030F"/>
    <w:rsid w:val="55410F72"/>
    <w:rsid w:val="555D5DAC"/>
    <w:rsid w:val="559211FA"/>
    <w:rsid w:val="55B94FAC"/>
    <w:rsid w:val="55D65C46"/>
    <w:rsid w:val="55EB160A"/>
    <w:rsid w:val="55FF7DFD"/>
    <w:rsid w:val="560114C6"/>
    <w:rsid w:val="56150435"/>
    <w:rsid w:val="561A5A4B"/>
    <w:rsid w:val="56226FF5"/>
    <w:rsid w:val="56260894"/>
    <w:rsid w:val="56342929"/>
    <w:rsid w:val="563805C7"/>
    <w:rsid w:val="564E4194"/>
    <w:rsid w:val="565C2507"/>
    <w:rsid w:val="56764C4B"/>
    <w:rsid w:val="569C6DA8"/>
    <w:rsid w:val="56B31638"/>
    <w:rsid w:val="56BA0FDC"/>
    <w:rsid w:val="572E5A54"/>
    <w:rsid w:val="575B456D"/>
    <w:rsid w:val="5774562F"/>
    <w:rsid w:val="577B69BD"/>
    <w:rsid w:val="57B123DF"/>
    <w:rsid w:val="57CA34A1"/>
    <w:rsid w:val="57DE0CFA"/>
    <w:rsid w:val="57E722A5"/>
    <w:rsid w:val="5805272B"/>
    <w:rsid w:val="580C3AB9"/>
    <w:rsid w:val="58144A64"/>
    <w:rsid w:val="58393411"/>
    <w:rsid w:val="583A23D4"/>
    <w:rsid w:val="58405511"/>
    <w:rsid w:val="586F23FF"/>
    <w:rsid w:val="58782D8B"/>
    <w:rsid w:val="58BF6D7E"/>
    <w:rsid w:val="58C5178D"/>
    <w:rsid w:val="58DA5965"/>
    <w:rsid w:val="58DE2AF2"/>
    <w:rsid w:val="58E97957"/>
    <w:rsid w:val="59103135"/>
    <w:rsid w:val="591C2EE8"/>
    <w:rsid w:val="592A3B46"/>
    <w:rsid w:val="59460BB6"/>
    <w:rsid w:val="59645264"/>
    <w:rsid w:val="596A0A97"/>
    <w:rsid w:val="596A6CE9"/>
    <w:rsid w:val="59710280"/>
    <w:rsid w:val="59AA5338"/>
    <w:rsid w:val="59CE7E9D"/>
    <w:rsid w:val="59F82547"/>
    <w:rsid w:val="5A1273D5"/>
    <w:rsid w:val="5A132EDD"/>
    <w:rsid w:val="5A1A69AD"/>
    <w:rsid w:val="5A3115B5"/>
    <w:rsid w:val="5A392BDA"/>
    <w:rsid w:val="5A461504"/>
    <w:rsid w:val="5A5456C1"/>
    <w:rsid w:val="5A9131AC"/>
    <w:rsid w:val="5A921DF5"/>
    <w:rsid w:val="5AAB1367"/>
    <w:rsid w:val="5AD7215D"/>
    <w:rsid w:val="5AD85ED5"/>
    <w:rsid w:val="5ADF6559"/>
    <w:rsid w:val="5B136F0D"/>
    <w:rsid w:val="5B1433B1"/>
    <w:rsid w:val="5B164F3F"/>
    <w:rsid w:val="5B174C4F"/>
    <w:rsid w:val="5B1E3F4E"/>
    <w:rsid w:val="5B215ACE"/>
    <w:rsid w:val="5B7D3075"/>
    <w:rsid w:val="5B95730F"/>
    <w:rsid w:val="5B9F4BBA"/>
    <w:rsid w:val="5BAA5AC3"/>
    <w:rsid w:val="5BC85F49"/>
    <w:rsid w:val="5BDE39BF"/>
    <w:rsid w:val="5BEA75B7"/>
    <w:rsid w:val="5C0351D3"/>
    <w:rsid w:val="5C0F1DCA"/>
    <w:rsid w:val="5C237623"/>
    <w:rsid w:val="5C25339C"/>
    <w:rsid w:val="5C4211A9"/>
    <w:rsid w:val="5C49708A"/>
    <w:rsid w:val="5C537F09"/>
    <w:rsid w:val="5C5D0D87"/>
    <w:rsid w:val="5C6E6C54"/>
    <w:rsid w:val="5C8005D2"/>
    <w:rsid w:val="5CC024CE"/>
    <w:rsid w:val="5CD32DF8"/>
    <w:rsid w:val="5CD5434D"/>
    <w:rsid w:val="5CD56B70"/>
    <w:rsid w:val="5CE62B2B"/>
    <w:rsid w:val="5CFD3BB1"/>
    <w:rsid w:val="5D123920"/>
    <w:rsid w:val="5D1A6C78"/>
    <w:rsid w:val="5D1C479E"/>
    <w:rsid w:val="5D2D69AC"/>
    <w:rsid w:val="5D4B6E32"/>
    <w:rsid w:val="5D5061F6"/>
    <w:rsid w:val="5D526412"/>
    <w:rsid w:val="5D546444"/>
    <w:rsid w:val="5D551A5E"/>
    <w:rsid w:val="5D7F1F57"/>
    <w:rsid w:val="5D83481E"/>
    <w:rsid w:val="5DC15346"/>
    <w:rsid w:val="5DC63E90"/>
    <w:rsid w:val="5DE30E18"/>
    <w:rsid w:val="5E1E00A2"/>
    <w:rsid w:val="5E202B40"/>
    <w:rsid w:val="5E2F5A32"/>
    <w:rsid w:val="5E385608"/>
    <w:rsid w:val="5E6F715B"/>
    <w:rsid w:val="5E940365"/>
    <w:rsid w:val="5EA54320"/>
    <w:rsid w:val="5EC61C02"/>
    <w:rsid w:val="5EEC1F4F"/>
    <w:rsid w:val="5EFA466C"/>
    <w:rsid w:val="5EFF6126"/>
    <w:rsid w:val="5F117C07"/>
    <w:rsid w:val="5F585836"/>
    <w:rsid w:val="5F7268F8"/>
    <w:rsid w:val="5F824661"/>
    <w:rsid w:val="5F8E1258"/>
    <w:rsid w:val="5F93061C"/>
    <w:rsid w:val="5F987AD8"/>
    <w:rsid w:val="5F9F3465"/>
    <w:rsid w:val="5FA02DB5"/>
    <w:rsid w:val="5FBE38EB"/>
    <w:rsid w:val="5FD26E0C"/>
    <w:rsid w:val="5FE13A7D"/>
    <w:rsid w:val="5FF4568C"/>
    <w:rsid w:val="600C5B29"/>
    <w:rsid w:val="60116111"/>
    <w:rsid w:val="60151855"/>
    <w:rsid w:val="603B4F3C"/>
    <w:rsid w:val="605C4EB2"/>
    <w:rsid w:val="605E0C2A"/>
    <w:rsid w:val="60631F7E"/>
    <w:rsid w:val="608C39E9"/>
    <w:rsid w:val="60AF592A"/>
    <w:rsid w:val="60B60A66"/>
    <w:rsid w:val="60B96C64"/>
    <w:rsid w:val="60D4713E"/>
    <w:rsid w:val="60F670B5"/>
    <w:rsid w:val="61016185"/>
    <w:rsid w:val="61047A23"/>
    <w:rsid w:val="610E2650"/>
    <w:rsid w:val="611C6A7B"/>
    <w:rsid w:val="61377DF9"/>
    <w:rsid w:val="6142679E"/>
    <w:rsid w:val="61523DDB"/>
    <w:rsid w:val="61914040"/>
    <w:rsid w:val="61926DDD"/>
    <w:rsid w:val="61A30FEA"/>
    <w:rsid w:val="61B52ACC"/>
    <w:rsid w:val="61B84EE3"/>
    <w:rsid w:val="61BF7F8A"/>
    <w:rsid w:val="61C84EF5"/>
    <w:rsid w:val="61CD42B9"/>
    <w:rsid w:val="62514EEA"/>
    <w:rsid w:val="62646D5A"/>
    <w:rsid w:val="627209BD"/>
    <w:rsid w:val="627666FF"/>
    <w:rsid w:val="62BF76E4"/>
    <w:rsid w:val="62DE1002"/>
    <w:rsid w:val="62F31AFE"/>
    <w:rsid w:val="63175732"/>
    <w:rsid w:val="631F0B45"/>
    <w:rsid w:val="632223E3"/>
    <w:rsid w:val="63332842"/>
    <w:rsid w:val="63505D50"/>
    <w:rsid w:val="63554566"/>
    <w:rsid w:val="63804284"/>
    <w:rsid w:val="638B442C"/>
    <w:rsid w:val="6390559E"/>
    <w:rsid w:val="63B55005"/>
    <w:rsid w:val="63C74D38"/>
    <w:rsid w:val="63E022DE"/>
    <w:rsid w:val="63F03F61"/>
    <w:rsid w:val="63F93F31"/>
    <w:rsid w:val="640A35A3"/>
    <w:rsid w:val="640B2E77"/>
    <w:rsid w:val="64145D02"/>
    <w:rsid w:val="642D103F"/>
    <w:rsid w:val="64432611"/>
    <w:rsid w:val="6477050C"/>
    <w:rsid w:val="647C5B23"/>
    <w:rsid w:val="649E1F3D"/>
    <w:rsid w:val="64BE01BC"/>
    <w:rsid w:val="64C9520C"/>
    <w:rsid w:val="64E35BA2"/>
    <w:rsid w:val="651641C9"/>
    <w:rsid w:val="651D5558"/>
    <w:rsid w:val="65332685"/>
    <w:rsid w:val="65402FF4"/>
    <w:rsid w:val="65530F79"/>
    <w:rsid w:val="656071F2"/>
    <w:rsid w:val="65670AB2"/>
    <w:rsid w:val="65741378"/>
    <w:rsid w:val="6578278E"/>
    <w:rsid w:val="65864EAB"/>
    <w:rsid w:val="658779D5"/>
    <w:rsid w:val="65A610A9"/>
    <w:rsid w:val="65B37C6A"/>
    <w:rsid w:val="65B5753E"/>
    <w:rsid w:val="65C21C5B"/>
    <w:rsid w:val="65D26342"/>
    <w:rsid w:val="65DF5C32"/>
    <w:rsid w:val="65E25E59"/>
    <w:rsid w:val="65F77B57"/>
    <w:rsid w:val="661E1587"/>
    <w:rsid w:val="66293A88"/>
    <w:rsid w:val="663C7C5F"/>
    <w:rsid w:val="665A1E94"/>
    <w:rsid w:val="666F3B91"/>
    <w:rsid w:val="6695111E"/>
    <w:rsid w:val="66A038F3"/>
    <w:rsid w:val="66AF3F8D"/>
    <w:rsid w:val="66B45A48"/>
    <w:rsid w:val="66EF2B81"/>
    <w:rsid w:val="6707201B"/>
    <w:rsid w:val="670C5884"/>
    <w:rsid w:val="6727446C"/>
    <w:rsid w:val="672C7CD4"/>
    <w:rsid w:val="675B18CF"/>
    <w:rsid w:val="67892A30"/>
    <w:rsid w:val="679A2E90"/>
    <w:rsid w:val="679D4DD2"/>
    <w:rsid w:val="67BA708E"/>
    <w:rsid w:val="67E61C31"/>
    <w:rsid w:val="67E91721"/>
    <w:rsid w:val="67F307F2"/>
    <w:rsid w:val="67F500C6"/>
    <w:rsid w:val="67FA1B80"/>
    <w:rsid w:val="67FF0F45"/>
    <w:rsid w:val="681C5653"/>
    <w:rsid w:val="683A1F7D"/>
    <w:rsid w:val="68721717"/>
    <w:rsid w:val="68803790"/>
    <w:rsid w:val="68A35D74"/>
    <w:rsid w:val="68AD09A1"/>
    <w:rsid w:val="68B03FED"/>
    <w:rsid w:val="68C152E3"/>
    <w:rsid w:val="68E73BC7"/>
    <w:rsid w:val="68EB0ABC"/>
    <w:rsid w:val="69033BEF"/>
    <w:rsid w:val="69425262"/>
    <w:rsid w:val="694A4673"/>
    <w:rsid w:val="694D7A8E"/>
    <w:rsid w:val="696079F3"/>
    <w:rsid w:val="697F233D"/>
    <w:rsid w:val="698A6F34"/>
    <w:rsid w:val="69AC6EAA"/>
    <w:rsid w:val="69E00902"/>
    <w:rsid w:val="69EC374B"/>
    <w:rsid w:val="69F66377"/>
    <w:rsid w:val="69F85566"/>
    <w:rsid w:val="6A324C3D"/>
    <w:rsid w:val="6A3C0964"/>
    <w:rsid w:val="6A3C207C"/>
    <w:rsid w:val="6AA95198"/>
    <w:rsid w:val="6AC6114F"/>
    <w:rsid w:val="6ACA3A8C"/>
    <w:rsid w:val="6AEA1A38"/>
    <w:rsid w:val="6B0F4D73"/>
    <w:rsid w:val="6B4F3F91"/>
    <w:rsid w:val="6B56531F"/>
    <w:rsid w:val="6B607F4C"/>
    <w:rsid w:val="6B824366"/>
    <w:rsid w:val="6B8E4AB9"/>
    <w:rsid w:val="6BAA7419"/>
    <w:rsid w:val="6BBB5226"/>
    <w:rsid w:val="6C1B2D7D"/>
    <w:rsid w:val="6C534DF7"/>
    <w:rsid w:val="6C7041BF"/>
    <w:rsid w:val="6C7672FB"/>
    <w:rsid w:val="6C8B2217"/>
    <w:rsid w:val="6C8D2FC3"/>
    <w:rsid w:val="6CB70040"/>
    <w:rsid w:val="6CCD0277"/>
    <w:rsid w:val="6D01750D"/>
    <w:rsid w:val="6D1301DD"/>
    <w:rsid w:val="6D25144D"/>
    <w:rsid w:val="6D463172"/>
    <w:rsid w:val="6D567E14"/>
    <w:rsid w:val="6D5B77E4"/>
    <w:rsid w:val="6D6B5FA5"/>
    <w:rsid w:val="6D8F694D"/>
    <w:rsid w:val="6D934609"/>
    <w:rsid w:val="6DA62AA7"/>
    <w:rsid w:val="6DBE16FE"/>
    <w:rsid w:val="6DF332FA"/>
    <w:rsid w:val="6E076CB0"/>
    <w:rsid w:val="6E0914B1"/>
    <w:rsid w:val="6E22773B"/>
    <w:rsid w:val="6E3B25AB"/>
    <w:rsid w:val="6E3D4575"/>
    <w:rsid w:val="6E4F6056"/>
    <w:rsid w:val="6E697118"/>
    <w:rsid w:val="6E7206C2"/>
    <w:rsid w:val="6E7855AD"/>
    <w:rsid w:val="6E8E4DD0"/>
    <w:rsid w:val="6E926A55"/>
    <w:rsid w:val="6EAB6E94"/>
    <w:rsid w:val="6EBF4F8A"/>
    <w:rsid w:val="6EC82DC9"/>
    <w:rsid w:val="6EFF61D9"/>
    <w:rsid w:val="6F1277AF"/>
    <w:rsid w:val="6F4214EB"/>
    <w:rsid w:val="6F4812E6"/>
    <w:rsid w:val="6F4D4C8B"/>
    <w:rsid w:val="6F5558EE"/>
    <w:rsid w:val="6F7C2E7B"/>
    <w:rsid w:val="6F8F0E00"/>
    <w:rsid w:val="6F9B1553"/>
    <w:rsid w:val="6FA911F4"/>
    <w:rsid w:val="6FC34F4E"/>
    <w:rsid w:val="6FDE7692"/>
    <w:rsid w:val="6FE54EC4"/>
    <w:rsid w:val="6FF46EB5"/>
    <w:rsid w:val="701B2694"/>
    <w:rsid w:val="704A2F79"/>
    <w:rsid w:val="704E4817"/>
    <w:rsid w:val="706933FF"/>
    <w:rsid w:val="706E6C67"/>
    <w:rsid w:val="707806AF"/>
    <w:rsid w:val="707B549C"/>
    <w:rsid w:val="707D334E"/>
    <w:rsid w:val="707D38C7"/>
    <w:rsid w:val="70B145DB"/>
    <w:rsid w:val="70BD199D"/>
    <w:rsid w:val="70C525FF"/>
    <w:rsid w:val="70D016D0"/>
    <w:rsid w:val="70DD3DED"/>
    <w:rsid w:val="70E707C8"/>
    <w:rsid w:val="70EE7FB6"/>
    <w:rsid w:val="70F33611"/>
    <w:rsid w:val="71080E6A"/>
    <w:rsid w:val="713F4FBE"/>
    <w:rsid w:val="71535E5D"/>
    <w:rsid w:val="71722787"/>
    <w:rsid w:val="718F50E7"/>
    <w:rsid w:val="71B21223"/>
    <w:rsid w:val="71CA611F"/>
    <w:rsid w:val="71D13952"/>
    <w:rsid w:val="71D23226"/>
    <w:rsid w:val="71D92806"/>
    <w:rsid w:val="71D92AF9"/>
    <w:rsid w:val="71D945B4"/>
    <w:rsid w:val="7208043A"/>
    <w:rsid w:val="721455EC"/>
    <w:rsid w:val="722515A8"/>
    <w:rsid w:val="7239220A"/>
    <w:rsid w:val="728409C4"/>
    <w:rsid w:val="72910035"/>
    <w:rsid w:val="729D3834"/>
    <w:rsid w:val="729E7295"/>
    <w:rsid w:val="72A20E4A"/>
    <w:rsid w:val="72A36EDC"/>
    <w:rsid w:val="730438B3"/>
    <w:rsid w:val="73173BCC"/>
    <w:rsid w:val="732A727E"/>
    <w:rsid w:val="733028FA"/>
    <w:rsid w:val="73487C44"/>
    <w:rsid w:val="737A5CEA"/>
    <w:rsid w:val="737F118B"/>
    <w:rsid w:val="73951FDA"/>
    <w:rsid w:val="739A7D73"/>
    <w:rsid w:val="73C92407"/>
    <w:rsid w:val="73FE0302"/>
    <w:rsid w:val="74057648"/>
    <w:rsid w:val="740D6797"/>
    <w:rsid w:val="74143FCA"/>
    <w:rsid w:val="741C4C2C"/>
    <w:rsid w:val="742668FE"/>
    <w:rsid w:val="7431385E"/>
    <w:rsid w:val="74582108"/>
    <w:rsid w:val="746C7962"/>
    <w:rsid w:val="747A0055"/>
    <w:rsid w:val="74A4534E"/>
    <w:rsid w:val="74A470FC"/>
    <w:rsid w:val="74A87419"/>
    <w:rsid w:val="74AB66DC"/>
    <w:rsid w:val="74B60BDD"/>
    <w:rsid w:val="74C669A5"/>
    <w:rsid w:val="74DA48CB"/>
    <w:rsid w:val="74E30EB1"/>
    <w:rsid w:val="7507768A"/>
    <w:rsid w:val="75166B7E"/>
    <w:rsid w:val="7535469C"/>
    <w:rsid w:val="754937FF"/>
    <w:rsid w:val="7592164A"/>
    <w:rsid w:val="75B07D22"/>
    <w:rsid w:val="762D3121"/>
    <w:rsid w:val="76366479"/>
    <w:rsid w:val="763C5112"/>
    <w:rsid w:val="76447C6A"/>
    <w:rsid w:val="764C17F9"/>
    <w:rsid w:val="76500BBD"/>
    <w:rsid w:val="767825EE"/>
    <w:rsid w:val="76962A74"/>
    <w:rsid w:val="76A03194"/>
    <w:rsid w:val="76B01D10"/>
    <w:rsid w:val="76C53359"/>
    <w:rsid w:val="76CC0B8C"/>
    <w:rsid w:val="771A36A5"/>
    <w:rsid w:val="77640DC4"/>
    <w:rsid w:val="778356EE"/>
    <w:rsid w:val="778E4093"/>
    <w:rsid w:val="77915EC1"/>
    <w:rsid w:val="77CA50CB"/>
    <w:rsid w:val="77CB0E43"/>
    <w:rsid w:val="77EB6DF0"/>
    <w:rsid w:val="77F57C6E"/>
    <w:rsid w:val="77FE2FC7"/>
    <w:rsid w:val="780600CD"/>
    <w:rsid w:val="78160310"/>
    <w:rsid w:val="78216CB5"/>
    <w:rsid w:val="782D7408"/>
    <w:rsid w:val="783F36F5"/>
    <w:rsid w:val="78713799"/>
    <w:rsid w:val="78A376CA"/>
    <w:rsid w:val="78AC2A23"/>
    <w:rsid w:val="78C733B9"/>
    <w:rsid w:val="78D855C6"/>
    <w:rsid w:val="78DA7B20"/>
    <w:rsid w:val="78EE6B97"/>
    <w:rsid w:val="78FB5758"/>
    <w:rsid w:val="790E1AF5"/>
    <w:rsid w:val="79112886"/>
    <w:rsid w:val="79140448"/>
    <w:rsid w:val="79352A18"/>
    <w:rsid w:val="793F3897"/>
    <w:rsid w:val="79490272"/>
    <w:rsid w:val="79537342"/>
    <w:rsid w:val="796E7CD8"/>
    <w:rsid w:val="797057FE"/>
    <w:rsid w:val="79752E15"/>
    <w:rsid w:val="799B65F3"/>
    <w:rsid w:val="79E9735F"/>
    <w:rsid w:val="79EA2C5F"/>
    <w:rsid w:val="79EE2BC7"/>
    <w:rsid w:val="7A601D17"/>
    <w:rsid w:val="7A635363"/>
    <w:rsid w:val="7A7E3F4B"/>
    <w:rsid w:val="7A836B12"/>
    <w:rsid w:val="7A8F43AA"/>
    <w:rsid w:val="7AA15E8B"/>
    <w:rsid w:val="7ABC4A73"/>
    <w:rsid w:val="7ABD0F17"/>
    <w:rsid w:val="7AC35E02"/>
    <w:rsid w:val="7AC8166A"/>
    <w:rsid w:val="7AD6660E"/>
    <w:rsid w:val="7AD7365B"/>
    <w:rsid w:val="7B0E1773"/>
    <w:rsid w:val="7B2A7C2F"/>
    <w:rsid w:val="7B3E3ED8"/>
    <w:rsid w:val="7B6D1AA2"/>
    <w:rsid w:val="7B7117E1"/>
    <w:rsid w:val="7B786BEC"/>
    <w:rsid w:val="7B931C78"/>
    <w:rsid w:val="7B936568"/>
    <w:rsid w:val="7BA21EBB"/>
    <w:rsid w:val="7BB8348D"/>
    <w:rsid w:val="7BCB1412"/>
    <w:rsid w:val="7BFA5853"/>
    <w:rsid w:val="7C2154D6"/>
    <w:rsid w:val="7C3074C7"/>
    <w:rsid w:val="7C413482"/>
    <w:rsid w:val="7C464F3C"/>
    <w:rsid w:val="7C4B7BB6"/>
    <w:rsid w:val="7C5123AD"/>
    <w:rsid w:val="7C6158D2"/>
    <w:rsid w:val="7C9B1C21"/>
    <w:rsid w:val="7CA51C63"/>
    <w:rsid w:val="7CB4634A"/>
    <w:rsid w:val="7CC86220"/>
    <w:rsid w:val="7CC976C2"/>
    <w:rsid w:val="7CDA1E6B"/>
    <w:rsid w:val="7CE0713F"/>
    <w:rsid w:val="7CE87DA1"/>
    <w:rsid w:val="7D1D4579"/>
    <w:rsid w:val="7D23702C"/>
    <w:rsid w:val="7D381048"/>
    <w:rsid w:val="7D493485"/>
    <w:rsid w:val="7D4A4251"/>
    <w:rsid w:val="7D6A07B6"/>
    <w:rsid w:val="7D6E02A7"/>
    <w:rsid w:val="7D985324"/>
    <w:rsid w:val="7DEE145B"/>
    <w:rsid w:val="7E127E42"/>
    <w:rsid w:val="7E3A63DB"/>
    <w:rsid w:val="7E3C60AD"/>
    <w:rsid w:val="7E582D05"/>
    <w:rsid w:val="7EA85A3A"/>
    <w:rsid w:val="7EAB552B"/>
    <w:rsid w:val="7EC108AA"/>
    <w:rsid w:val="7EC81C39"/>
    <w:rsid w:val="7ECA3C03"/>
    <w:rsid w:val="7EED6215"/>
    <w:rsid w:val="7F3A6C01"/>
    <w:rsid w:val="7F3B065C"/>
    <w:rsid w:val="7F9D0021"/>
    <w:rsid w:val="7FAB4D6D"/>
    <w:rsid w:val="7FC05006"/>
    <w:rsid w:val="7FC141E8"/>
    <w:rsid w:val="7FC20D7E"/>
    <w:rsid w:val="7FDD34C2"/>
    <w:rsid w:val="7FDE455C"/>
    <w:rsid w:val="7FE405C7"/>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9">
    <w:name w:val="heading 1"/>
    <w:basedOn w:val="1"/>
    <w:next w:val="1"/>
    <w:link w:val="57"/>
    <w:autoRedefine/>
    <w:qFormat/>
    <w:uiPriority w:val="9"/>
    <w:pPr>
      <w:keepNext/>
      <w:keepLines/>
      <w:spacing w:before="340" w:after="330" w:line="578" w:lineRule="auto"/>
      <w:outlineLvl w:val="0"/>
    </w:pPr>
    <w:rPr>
      <w:b/>
      <w:bCs/>
      <w:kern w:val="44"/>
      <w:sz w:val="44"/>
      <w:szCs w:val="44"/>
    </w:rPr>
  </w:style>
  <w:style w:type="paragraph" w:styleId="10">
    <w:name w:val="heading 2"/>
    <w:basedOn w:val="1"/>
    <w:next w:val="1"/>
    <w:link w:val="58"/>
    <w:autoRedefine/>
    <w:qFormat/>
    <w:uiPriority w:val="9"/>
    <w:pPr>
      <w:keepNext/>
      <w:keepLines/>
      <w:spacing w:before="260" w:after="260" w:line="416" w:lineRule="auto"/>
      <w:outlineLvl w:val="1"/>
    </w:pPr>
    <w:rPr>
      <w:rFonts w:ascii="Arial" w:hAnsi="Arial" w:eastAsia="黑体"/>
      <w:b/>
      <w:bCs/>
      <w:sz w:val="32"/>
      <w:szCs w:val="32"/>
    </w:rPr>
  </w:style>
  <w:style w:type="paragraph" w:styleId="11">
    <w:name w:val="heading 3"/>
    <w:basedOn w:val="1"/>
    <w:next w:val="1"/>
    <w:link w:val="59"/>
    <w:autoRedefine/>
    <w:qFormat/>
    <w:uiPriority w:val="0"/>
    <w:pPr>
      <w:keepNext/>
      <w:keepLines/>
      <w:spacing w:before="260" w:after="260" w:line="416" w:lineRule="auto"/>
      <w:outlineLvl w:val="2"/>
    </w:pPr>
    <w:rPr>
      <w:b/>
      <w:bCs/>
      <w:sz w:val="32"/>
      <w:szCs w:val="32"/>
    </w:rPr>
  </w:style>
  <w:style w:type="paragraph" w:styleId="12">
    <w:name w:val="heading 4"/>
    <w:basedOn w:val="1"/>
    <w:next w:val="1"/>
    <w:link w:val="60"/>
    <w:autoRedefine/>
    <w:qFormat/>
    <w:uiPriority w:val="0"/>
    <w:pPr>
      <w:keepNext/>
      <w:keepLines/>
      <w:spacing w:line="360" w:lineRule="auto"/>
      <w:outlineLvl w:val="3"/>
    </w:pPr>
    <w:rPr>
      <w:rFonts w:ascii="Arial" w:hAnsi="Arial"/>
      <w:b/>
      <w:bCs/>
      <w:szCs w:val="28"/>
    </w:rPr>
  </w:style>
  <w:style w:type="paragraph" w:styleId="13">
    <w:name w:val="heading 5"/>
    <w:basedOn w:val="1"/>
    <w:next w:val="1"/>
    <w:link w:val="61"/>
    <w:autoRedefine/>
    <w:qFormat/>
    <w:uiPriority w:val="0"/>
    <w:pPr>
      <w:keepNext/>
      <w:keepLines/>
      <w:spacing w:before="280" w:after="290" w:line="376" w:lineRule="auto"/>
      <w:outlineLvl w:val="4"/>
    </w:pPr>
    <w:rPr>
      <w:b/>
      <w:bCs/>
      <w:sz w:val="28"/>
      <w:szCs w:val="28"/>
    </w:rPr>
  </w:style>
  <w:style w:type="paragraph" w:styleId="14">
    <w:name w:val="heading 6"/>
    <w:basedOn w:val="1"/>
    <w:next w:val="1"/>
    <w:link w:val="62"/>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5">
    <w:name w:val="heading 7"/>
    <w:basedOn w:val="1"/>
    <w:next w:val="1"/>
    <w:link w:val="63"/>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6">
    <w:name w:val="heading 8"/>
    <w:basedOn w:val="1"/>
    <w:next w:val="1"/>
    <w:link w:val="64"/>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7">
    <w:name w:val="heading 9"/>
    <w:basedOn w:val="1"/>
    <w:next w:val="1"/>
    <w:link w:val="65"/>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73"/>
    <w:autoRedefine/>
    <w:qFormat/>
    <w:uiPriority w:val="99"/>
    <w:pPr>
      <w:ind w:firstLine="420" w:firstLineChars="100"/>
    </w:pPr>
  </w:style>
  <w:style w:type="paragraph" w:styleId="3">
    <w:name w:val="Body Text"/>
    <w:basedOn w:val="1"/>
    <w:next w:val="4"/>
    <w:link w:val="70"/>
    <w:autoRedefine/>
    <w:qFormat/>
    <w:uiPriority w:val="99"/>
    <w:pPr>
      <w:spacing w:after="120"/>
    </w:pPr>
    <w:rPr>
      <w:rFonts w:hint="eastAsia" w:hAnsi="宋体" w:cs="宋体"/>
      <w:szCs w:val="34"/>
    </w:rPr>
  </w:style>
  <w:style w:type="paragraph" w:customStyle="1" w:styleId="4">
    <w:name w:val="样式 首行缩进:  2 字符"/>
    <w:basedOn w:val="1"/>
    <w:next w:val="5"/>
    <w:qFormat/>
    <w:uiPriority w:val="0"/>
    <w:pPr>
      <w:ind w:firstLine="480"/>
    </w:pPr>
    <w:rPr>
      <w:sz w:val="28"/>
      <w:szCs w:val="20"/>
    </w:rPr>
  </w:style>
  <w:style w:type="paragraph" w:styleId="5">
    <w:name w:val="toc 9"/>
    <w:basedOn w:val="1"/>
    <w:next w:val="1"/>
    <w:qFormat/>
    <w:uiPriority w:val="0"/>
    <w:pPr>
      <w:ind w:left="3360" w:leftChars="1600"/>
    </w:pPr>
  </w:style>
  <w:style w:type="paragraph" w:styleId="6">
    <w:name w:val="Body Text First Indent 2"/>
    <w:basedOn w:val="7"/>
    <w:next w:val="1"/>
    <w:link w:val="74"/>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7">
    <w:name w:val="Body Text Indent"/>
    <w:basedOn w:val="1"/>
    <w:next w:val="8"/>
    <w:link w:val="71"/>
    <w:autoRedefine/>
    <w:qFormat/>
    <w:uiPriority w:val="99"/>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18">
    <w:name w:val="Normal Indent"/>
    <w:basedOn w:val="1"/>
    <w:autoRedefine/>
    <w:qFormat/>
    <w:uiPriority w:val="0"/>
    <w:pPr>
      <w:ind w:firstLine="420" w:firstLineChars="200"/>
    </w:pPr>
  </w:style>
  <w:style w:type="paragraph" w:styleId="19">
    <w:name w:val="caption"/>
    <w:basedOn w:val="1"/>
    <w:next w:val="1"/>
    <w:autoRedefine/>
    <w:qFormat/>
    <w:uiPriority w:val="0"/>
    <w:rPr>
      <w:rFonts w:ascii="Arial" w:hAnsi="Arial" w:eastAsia="黑体" w:cs="Arial"/>
      <w:sz w:val="20"/>
      <w:szCs w:val="20"/>
    </w:rPr>
  </w:style>
  <w:style w:type="paragraph" w:styleId="20">
    <w:name w:val="Document Map"/>
    <w:basedOn w:val="1"/>
    <w:link w:val="78"/>
    <w:autoRedefine/>
    <w:semiHidden/>
    <w:qFormat/>
    <w:uiPriority w:val="0"/>
    <w:pPr>
      <w:shd w:val="clear" w:color="auto" w:fill="000080"/>
    </w:pPr>
  </w:style>
  <w:style w:type="paragraph" w:styleId="21">
    <w:name w:val="annotation text"/>
    <w:basedOn w:val="1"/>
    <w:link w:val="66"/>
    <w:autoRedefine/>
    <w:qFormat/>
    <w:uiPriority w:val="99"/>
    <w:pPr>
      <w:jc w:val="left"/>
    </w:pPr>
  </w:style>
  <w:style w:type="paragraph" w:styleId="22">
    <w:name w:val="Body Text 3"/>
    <w:basedOn w:val="1"/>
    <w:link w:val="75"/>
    <w:autoRedefine/>
    <w:qFormat/>
    <w:uiPriority w:val="0"/>
    <w:rPr>
      <w:sz w:val="24"/>
    </w:rPr>
  </w:style>
  <w:style w:type="paragraph" w:styleId="23">
    <w:name w:val="toc 3"/>
    <w:basedOn w:val="1"/>
    <w:next w:val="1"/>
    <w:autoRedefine/>
    <w:semiHidden/>
    <w:qFormat/>
    <w:uiPriority w:val="0"/>
    <w:pPr>
      <w:ind w:left="840" w:leftChars="400"/>
    </w:pPr>
  </w:style>
  <w:style w:type="paragraph" w:styleId="24">
    <w:name w:val="Plain Text"/>
    <w:basedOn w:val="1"/>
    <w:link w:val="79"/>
    <w:autoRedefine/>
    <w:qFormat/>
    <w:uiPriority w:val="0"/>
    <w:rPr>
      <w:rFonts w:hAnsi="Courier New" w:cs="Courier New"/>
      <w:szCs w:val="21"/>
    </w:rPr>
  </w:style>
  <w:style w:type="paragraph" w:styleId="25">
    <w:name w:val="Date"/>
    <w:basedOn w:val="1"/>
    <w:next w:val="1"/>
    <w:link w:val="72"/>
    <w:autoRedefine/>
    <w:qFormat/>
    <w:uiPriority w:val="99"/>
    <w:pPr>
      <w:ind w:left="100" w:leftChars="2500"/>
    </w:p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80"/>
    <w:autoRedefine/>
    <w:qFormat/>
    <w:uiPriority w:val="99"/>
    <w:rPr>
      <w:sz w:val="18"/>
      <w:szCs w:val="18"/>
    </w:rPr>
  </w:style>
  <w:style w:type="paragraph" w:styleId="28">
    <w:name w:val="footer"/>
    <w:basedOn w:val="1"/>
    <w:link w:val="68"/>
    <w:autoRedefine/>
    <w:qFormat/>
    <w:uiPriority w:val="99"/>
    <w:pPr>
      <w:tabs>
        <w:tab w:val="center" w:pos="4153"/>
        <w:tab w:val="right" w:pos="8306"/>
      </w:tabs>
      <w:snapToGrid w:val="0"/>
      <w:jc w:val="left"/>
    </w:pPr>
    <w:rPr>
      <w:sz w:val="18"/>
      <w:szCs w:val="18"/>
    </w:rPr>
  </w:style>
  <w:style w:type="paragraph" w:styleId="29">
    <w:name w:val="header"/>
    <w:basedOn w:val="1"/>
    <w:link w:val="67"/>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31">
    <w:name w:val="Body Text Indent 3"/>
    <w:basedOn w:val="1"/>
    <w:link w:val="77"/>
    <w:autoRedefine/>
    <w:qFormat/>
    <w:uiPriority w:val="0"/>
    <w:pPr>
      <w:ind w:firstLine="420" w:firstLineChars="200"/>
    </w:pPr>
    <w:rPr>
      <w:rFonts w:hAnsi="宋体"/>
    </w:rPr>
  </w:style>
  <w:style w:type="paragraph" w:styleId="32">
    <w:name w:val="table of figures"/>
    <w:basedOn w:val="1"/>
    <w:next w:val="1"/>
    <w:autoRedefine/>
    <w:qFormat/>
    <w:uiPriority w:val="0"/>
    <w:pPr>
      <w:ind w:left="200" w:leftChars="200" w:hanging="200" w:hangingChars="200"/>
    </w:pPr>
  </w:style>
  <w:style w:type="paragraph" w:styleId="33">
    <w:name w:val="toc 2"/>
    <w:basedOn w:val="1"/>
    <w:next w:val="1"/>
    <w:autoRedefine/>
    <w:qFormat/>
    <w:uiPriority w:val="0"/>
    <w:pPr>
      <w:spacing w:before="120"/>
      <w:ind w:left="210"/>
      <w:jc w:val="left"/>
    </w:pPr>
    <w:rPr>
      <w:rFonts w:ascii="Times New Roman" w:hAnsi="Times New Roman"/>
      <w:i/>
      <w:iCs/>
      <w:sz w:val="20"/>
      <w:szCs w:val="24"/>
    </w:rPr>
  </w:style>
  <w:style w:type="paragraph" w:styleId="34">
    <w:name w:val="Body Text 2"/>
    <w:basedOn w:val="1"/>
    <w:next w:val="3"/>
    <w:autoRedefine/>
    <w:qFormat/>
    <w:uiPriority w:val="99"/>
    <w:pPr>
      <w:spacing w:line="900" w:lineRule="exact"/>
      <w:jc w:val="center"/>
    </w:pPr>
    <w:rPr>
      <w:rFonts w:eastAsia="楷体_GB2312"/>
      <w:b/>
      <w:bCs/>
      <w:sz w:val="36"/>
      <w:szCs w:val="36"/>
    </w:rPr>
  </w:style>
  <w:style w:type="paragraph" w:styleId="35">
    <w:name w:val="Message Header"/>
    <w:basedOn w:val="1"/>
    <w:next w:val="1"/>
    <w:link w:val="56"/>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6">
    <w:name w:val="HTML Preformatted"/>
    <w:basedOn w:val="1"/>
    <w:link w:val="13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7">
    <w:name w:val="Normal (Web)"/>
    <w:basedOn w:val="1"/>
    <w:autoRedefine/>
    <w:qFormat/>
    <w:uiPriority w:val="99"/>
    <w:pPr>
      <w:widowControl/>
      <w:spacing w:before="100" w:beforeAutospacing="1" w:after="100" w:afterAutospacing="1"/>
      <w:jc w:val="left"/>
    </w:pPr>
    <w:rPr>
      <w:rFonts w:hAnsi="宋体" w:cs="宋体"/>
      <w:sz w:val="24"/>
    </w:rPr>
  </w:style>
  <w:style w:type="paragraph" w:styleId="38">
    <w:name w:val="Title"/>
    <w:basedOn w:val="1"/>
    <w:next w:val="1"/>
    <w:link w:val="69"/>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9">
    <w:name w:val="annotation subject"/>
    <w:basedOn w:val="21"/>
    <w:next w:val="21"/>
    <w:link w:val="132"/>
    <w:autoRedefine/>
    <w:unhideWhenUsed/>
    <w:qFormat/>
    <w:uiPriority w:val="99"/>
    <w:rPr>
      <w:b/>
      <w:bCs/>
    </w:r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22"/>
    <w:rPr>
      <w:b/>
      <w:bCs/>
    </w:rPr>
  </w:style>
  <w:style w:type="character" w:styleId="44">
    <w:name w:val="page number"/>
    <w:basedOn w:val="42"/>
    <w:autoRedefine/>
    <w:qFormat/>
    <w:uiPriority w:val="0"/>
  </w:style>
  <w:style w:type="character" w:styleId="45">
    <w:name w:val="FollowedHyperlink"/>
    <w:autoRedefine/>
    <w:qFormat/>
    <w:uiPriority w:val="99"/>
    <w:rPr>
      <w:color w:val="000000"/>
      <w:u w:val="none"/>
    </w:rPr>
  </w:style>
  <w:style w:type="character" w:styleId="46">
    <w:name w:val="Emphasis"/>
    <w:basedOn w:val="42"/>
    <w:autoRedefine/>
    <w:qFormat/>
    <w:uiPriority w:val="20"/>
  </w:style>
  <w:style w:type="character" w:styleId="47">
    <w:name w:val="Hyperlink"/>
    <w:basedOn w:val="42"/>
    <w:autoRedefine/>
    <w:qFormat/>
    <w:uiPriority w:val="99"/>
    <w:rPr>
      <w:color w:val="000000"/>
      <w:u w:val="none"/>
    </w:rPr>
  </w:style>
  <w:style w:type="character" w:styleId="48">
    <w:name w:val="annotation reference"/>
    <w:basedOn w:val="42"/>
    <w:autoRedefine/>
    <w:unhideWhenUsed/>
    <w:qFormat/>
    <w:uiPriority w:val="99"/>
    <w:rPr>
      <w:sz w:val="21"/>
      <w:szCs w:val="21"/>
    </w:rPr>
  </w:style>
  <w:style w:type="paragraph" w:customStyle="1" w:styleId="49">
    <w:name w:val="Default"/>
    <w:next w:val="3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0">
    <w:name w:val="style4"/>
    <w:basedOn w:val="51"/>
    <w:next w:val="52"/>
    <w:autoRedefine/>
    <w:qFormat/>
    <w:uiPriority w:val="0"/>
    <w:pPr>
      <w:widowControl/>
      <w:spacing w:before="280" w:after="280"/>
    </w:pPr>
    <w:rPr>
      <w:rFonts w:ascii="宋体"/>
      <w:sz w:val="18"/>
    </w:rPr>
  </w:style>
  <w:style w:type="paragraph" w:customStyle="1" w:styleId="51">
    <w:name w:val="正文_0"/>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3">
    <w:name w:val="_Style 2"/>
    <w:basedOn w:val="1"/>
    <w:next w:val="1"/>
    <w:autoRedefine/>
    <w:qFormat/>
    <w:uiPriority w:val="0"/>
    <w:pPr>
      <w:ind w:firstLine="420" w:firstLineChars="200"/>
    </w:pPr>
  </w:style>
  <w:style w:type="paragraph" w:customStyle="1" w:styleId="54">
    <w:name w:val="正文文本缩进 21"/>
    <w:basedOn w:val="1"/>
    <w:autoRedefine/>
    <w:qFormat/>
    <w:uiPriority w:val="0"/>
    <w:pPr>
      <w:spacing w:after="120" w:line="480" w:lineRule="auto"/>
      <w:ind w:left="420"/>
    </w:pPr>
  </w:style>
  <w:style w:type="paragraph" w:customStyle="1" w:styleId="55">
    <w:name w:val="列出段落1"/>
    <w:basedOn w:val="1"/>
    <w:autoRedefine/>
    <w:qFormat/>
    <w:uiPriority w:val="0"/>
    <w:pPr>
      <w:adjustRightInd w:val="0"/>
      <w:snapToGrid w:val="0"/>
      <w:spacing w:line="360" w:lineRule="auto"/>
      <w:ind w:firstLine="420" w:firstLineChars="200"/>
    </w:pPr>
    <w:rPr>
      <w:color w:val="000000"/>
      <w:szCs w:val="21"/>
    </w:rPr>
  </w:style>
  <w:style w:type="character" w:customStyle="1" w:styleId="56">
    <w:name w:val="信息标题 字符"/>
    <w:basedOn w:val="42"/>
    <w:link w:val="35"/>
    <w:autoRedefine/>
    <w:qFormat/>
    <w:uiPriority w:val="0"/>
    <w:rPr>
      <w:rFonts w:ascii="Arial" w:hAnsi="Arial" w:cstheme="majorBidi"/>
      <w:sz w:val="24"/>
      <w:shd w:val="pct20" w:color="auto" w:fill="auto"/>
    </w:rPr>
  </w:style>
  <w:style w:type="character" w:customStyle="1" w:styleId="57">
    <w:name w:val="标题 1 字符"/>
    <w:basedOn w:val="42"/>
    <w:link w:val="9"/>
    <w:autoRedefine/>
    <w:qFormat/>
    <w:uiPriority w:val="9"/>
    <w:rPr>
      <w:rFonts w:ascii="宋体" w:hAnsi="Times New Roman"/>
      <w:b/>
      <w:bCs/>
      <w:kern w:val="44"/>
      <w:sz w:val="44"/>
      <w:szCs w:val="44"/>
    </w:rPr>
  </w:style>
  <w:style w:type="character" w:customStyle="1" w:styleId="58">
    <w:name w:val="标题 2 字符"/>
    <w:link w:val="10"/>
    <w:autoRedefine/>
    <w:qFormat/>
    <w:uiPriority w:val="0"/>
    <w:rPr>
      <w:rFonts w:ascii="Arial" w:hAnsi="Arial" w:eastAsia="黑体"/>
      <w:b/>
      <w:bCs/>
      <w:kern w:val="2"/>
      <w:sz w:val="32"/>
      <w:szCs w:val="32"/>
      <w:lang w:val="en-US" w:eastAsia="zh-CN" w:bidi="ar-SA"/>
    </w:rPr>
  </w:style>
  <w:style w:type="character" w:customStyle="1" w:styleId="59">
    <w:name w:val="标题 3 字符"/>
    <w:basedOn w:val="42"/>
    <w:link w:val="11"/>
    <w:autoRedefine/>
    <w:qFormat/>
    <w:uiPriority w:val="0"/>
    <w:rPr>
      <w:rFonts w:ascii="宋体" w:hAnsi="Times New Roman"/>
      <w:b/>
      <w:bCs/>
      <w:sz w:val="32"/>
      <w:szCs w:val="32"/>
    </w:rPr>
  </w:style>
  <w:style w:type="character" w:customStyle="1" w:styleId="60">
    <w:name w:val="标题 4 字符"/>
    <w:basedOn w:val="42"/>
    <w:link w:val="12"/>
    <w:autoRedefine/>
    <w:qFormat/>
    <w:uiPriority w:val="0"/>
    <w:rPr>
      <w:rFonts w:ascii="Arial" w:hAnsi="Arial"/>
      <w:b/>
      <w:bCs/>
      <w:sz w:val="34"/>
      <w:szCs w:val="28"/>
    </w:rPr>
  </w:style>
  <w:style w:type="character" w:customStyle="1" w:styleId="61">
    <w:name w:val="标题 5 字符"/>
    <w:basedOn w:val="42"/>
    <w:link w:val="13"/>
    <w:autoRedefine/>
    <w:qFormat/>
    <w:uiPriority w:val="0"/>
    <w:rPr>
      <w:rFonts w:ascii="宋体" w:hAnsi="Times New Roman"/>
      <w:b/>
      <w:bCs/>
      <w:sz w:val="28"/>
      <w:szCs w:val="28"/>
    </w:rPr>
  </w:style>
  <w:style w:type="character" w:customStyle="1" w:styleId="62">
    <w:name w:val="标题 6 字符"/>
    <w:basedOn w:val="42"/>
    <w:link w:val="14"/>
    <w:autoRedefine/>
    <w:qFormat/>
    <w:uiPriority w:val="0"/>
    <w:rPr>
      <w:rFonts w:ascii="Arial" w:hAnsi="Arial" w:eastAsia="黑体"/>
      <w:b/>
      <w:bCs/>
      <w:sz w:val="24"/>
    </w:rPr>
  </w:style>
  <w:style w:type="character" w:customStyle="1" w:styleId="63">
    <w:name w:val="标题 7 字符"/>
    <w:basedOn w:val="42"/>
    <w:link w:val="15"/>
    <w:autoRedefine/>
    <w:qFormat/>
    <w:uiPriority w:val="0"/>
    <w:rPr>
      <w:rFonts w:ascii="宋体" w:hAnsi="Times New Roman"/>
      <w:b/>
      <w:bCs/>
      <w:sz w:val="24"/>
    </w:rPr>
  </w:style>
  <w:style w:type="character" w:customStyle="1" w:styleId="64">
    <w:name w:val="标题 8 字符"/>
    <w:basedOn w:val="42"/>
    <w:link w:val="16"/>
    <w:autoRedefine/>
    <w:qFormat/>
    <w:uiPriority w:val="0"/>
    <w:rPr>
      <w:rFonts w:ascii="Arial" w:hAnsi="Arial" w:eastAsia="黑体"/>
      <w:sz w:val="24"/>
    </w:rPr>
  </w:style>
  <w:style w:type="character" w:customStyle="1" w:styleId="65">
    <w:name w:val="标题 9 字符"/>
    <w:basedOn w:val="42"/>
    <w:link w:val="17"/>
    <w:autoRedefine/>
    <w:qFormat/>
    <w:uiPriority w:val="0"/>
    <w:rPr>
      <w:rFonts w:ascii="Arial" w:hAnsi="Arial" w:eastAsia="黑体"/>
      <w:sz w:val="34"/>
      <w:szCs w:val="21"/>
    </w:rPr>
  </w:style>
  <w:style w:type="character" w:customStyle="1" w:styleId="66">
    <w:name w:val="批注文字 字符"/>
    <w:basedOn w:val="42"/>
    <w:link w:val="21"/>
    <w:autoRedefine/>
    <w:qFormat/>
    <w:uiPriority w:val="99"/>
    <w:rPr>
      <w:rFonts w:ascii="宋体" w:hAnsi="Times New Roman"/>
      <w:sz w:val="34"/>
    </w:rPr>
  </w:style>
  <w:style w:type="character" w:customStyle="1" w:styleId="67">
    <w:name w:val="页眉 字符"/>
    <w:basedOn w:val="42"/>
    <w:link w:val="29"/>
    <w:autoRedefine/>
    <w:qFormat/>
    <w:uiPriority w:val="99"/>
    <w:rPr>
      <w:rFonts w:ascii="宋体"/>
      <w:sz w:val="18"/>
      <w:szCs w:val="18"/>
    </w:rPr>
  </w:style>
  <w:style w:type="character" w:customStyle="1" w:styleId="68">
    <w:name w:val="页脚 字符"/>
    <w:link w:val="28"/>
    <w:autoRedefine/>
    <w:qFormat/>
    <w:uiPriority w:val="99"/>
    <w:rPr>
      <w:kern w:val="2"/>
      <w:sz w:val="18"/>
      <w:szCs w:val="18"/>
    </w:rPr>
  </w:style>
  <w:style w:type="character" w:customStyle="1" w:styleId="69">
    <w:name w:val="标题 字符"/>
    <w:basedOn w:val="42"/>
    <w:link w:val="38"/>
    <w:autoRedefine/>
    <w:qFormat/>
    <w:uiPriority w:val="0"/>
    <w:rPr>
      <w:rFonts w:ascii="Arial" w:hAnsi="Arial"/>
      <w:b/>
      <w:sz w:val="32"/>
    </w:rPr>
  </w:style>
  <w:style w:type="character" w:customStyle="1" w:styleId="70">
    <w:name w:val="正文文本 字符"/>
    <w:basedOn w:val="42"/>
    <w:link w:val="3"/>
    <w:autoRedefine/>
    <w:qFormat/>
    <w:uiPriority w:val="99"/>
    <w:rPr>
      <w:rFonts w:hint="eastAsia" w:ascii="宋体" w:hAnsi="宋体" w:eastAsia="宋体" w:cs="宋体"/>
      <w:sz w:val="34"/>
      <w:szCs w:val="34"/>
    </w:rPr>
  </w:style>
  <w:style w:type="character" w:customStyle="1" w:styleId="71">
    <w:name w:val="正文文本缩进 字符"/>
    <w:basedOn w:val="42"/>
    <w:link w:val="7"/>
    <w:autoRedefine/>
    <w:qFormat/>
    <w:uiPriority w:val="0"/>
    <w:rPr>
      <w:rFonts w:ascii="宋体" w:hAnsi="Times New Roman"/>
      <w:sz w:val="34"/>
    </w:rPr>
  </w:style>
  <w:style w:type="character" w:customStyle="1" w:styleId="72">
    <w:name w:val="日期 字符"/>
    <w:basedOn w:val="42"/>
    <w:link w:val="25"/>
    <w:autoRedefine/>
    <w:qFormat/>
    <w:uiPriority w:val="0"/>
    <w:rPr>
      <w:rFonts w:ascii="宋体" w:hAnsi="Times New Roman"/>
      <w:sz w:val="34"/>
    </w:rPr>
  </w:style>
  <w:style w:type="character" w:customStyle="1" w:styleId="73">
    <w:name w:val="正文文本首行缩进 字符"/>
    <w:basedOn w:val="70"/>
    <w:link w:val="2"/>
    <w:autoRedefine/>
    <w:qFormat/>
    <w:uiPriority w:val="99"/>
    <w:rPr>
      <w:rFonts w:hint="eastAsia" w:ascii="宋体" w:hAnsi="宋体" w:eastAsia="宋体" w:cs="宋体"/>
      <w:sz w:val="34"/>
      <w:szCs w:val="34"/>
    </w:rPr>
  </w:style>
  <w:style w:type="character" w:customStyle="1" w:styleId="74">
    <w:name w:val="正文文本首行缩进 2 字符"/>
    <w:basedOn w:val="71"/>
    <w:link w:val="6"/>
    <w:autoRedefine/>
    <w:qFormat/>
    <w:uiPriority w:val="0"/>
    <w:rPr>
      <w:rFonts w:ascii="仿宋_GB2312" w:hAnsi="仿宋_GB2312"/>
      <w:sz w:val="34"/>
      <w:szCs w:val="30"/>
      <w:lang w:eastAsia="en-US"/>
    </w:rPr>
  </w:style>
  <w:style w:type="character" w:customStyle="1" w:styleId="75">
    <w:name w:val="正文文本 3 字符"/>
    <w:basedOn w:val="42"/>
    <w:link w:val="22"/>
    <w:autoRedefine/>
    <w:qFormat/>
    <w:uiPriority w:val="0"/>
    <w:rPr>
      <w:rFonts w:ascii="宋体" w:hAnsi="Times New Roman"/>
      <w:sz w:val="24"/>
    </w:rPr>
  </w:style>
  <w:style w:type="character" w:customStyle="1" w:styleId="76">
    <w:name w:val="正文文本缩进 2 字符"/>
    <w:basedOn w:val="42"/>
    <w:link w:val="26"/>
    <w:autoRedefine/>
    <w:qFormat/>
    <w:uiPriority w:val="0"/>
    <w:rPr>
      <w:rFonts w:ascii="宋体" w:hAnsi="Times New Roman"/>
      <w:sz w:val="34"/>
    </w:rPr>
  </w:style>
  <w:style w:type="character" w:customStyle="1" w:styleId="77">
    <w:name w:val="正文文本缩进 3 字符"/>
    <w:basedOn w:val="42"/>
    <w:link w:val="31"/>
    <w:autoRedefine/>
    <w:qFormat/>
    <w:uiPriority w:val="0"/>
    <w:rPr>
      <w:rFonts w:ascii="宋体" w:hAnsi="宋体"/>
      <w:sz w:val="34"/>
    </w:rPr>
  </w:style>
  <w:style w:type="character" w:customStyle="1" w:styleId="78">
    <w:name w:val="文档结构图 字符"/>
    <w:basedOn w:val="42"/>
    <w:link w:val="20"/>
    <w:autoRedefine/>
    <w:semiHidden/>
    <w:qFormat/>
    <w:uiPriority w:val="0"/>
    <w:rPr>
      <w:rFonts w:ascii="宋体" w:hAnsi="Times New Roman"/>
      <w:sz w:val="34"/>
      <w:shd w:val="clear" w:color="auto" w:fill="000080"/>
    </w:rPr>
  </w:style>
  <w:style w:type="character" w:customStyle="1" w:styleId="79">
    <w:name w:val="纯文本 字符"/>
    <w:link w:val="24"/>
    <w:autoRedefine/>
    <w:qFormat/>
    <w:uiPriority w:val="0"/>
    <w:rPr>
      <w:rFonts w:ascii="宋体" w:hAnsi="Courier New" w:eastAsia="宋体" w:cs="Courier New"/>
      <w:kern w:val="2"/>
      <w:sz w:val="21"/>
      <w:szCs w:val="21"/>
      <w:lang w:val="en-US" w:eastAsia="zh-CN" w:bidi="ar-SA"/>
    </w:rPr>
  </w:style>
  <w:style w:type="character" w:customStyle="1" w:styleId="80">
    <w:name w:val="批注框文本 字符"/>
    <w:basedOn w:val="42"/>
    <w:link w:val="27"/>
    <w:autoRedefine/>
    <w:semiHidden/>
    <w:qFormat/>
    <w:uiPriority w:val="99"/>
    <w:rPr>
      <w:rFonts w:ascii="宋体" w:hAnsi="Times New Roman"/>
      <w:sz w:val="18"/>
      <w:szCs w:val="18"/>
    </w:rPr>
  </w:style>
  <w:style w:type="character" w:customStyle="1" w:styleId="81">
    <w:name w:val="hover3"/>
    <w:autoRedefine/>
    <w:qFormat/>
    <w:uiPriority w:val="0"/>
    <w:rPr>
      <w:bdr w:val="single" w:color="FFCC33" w:sz="6" w:space="0"/>
    </w:rPr>
  </w:style>
  <w:style w:type="character" w:customStyle="1" w:styleId="82">
    <w:name w:val="tit1"/>
    <w:basedOn w:val="42"/>
    <w:autoRedefine/>
    <w:qFormat/>
    <w:uiPriority w:val="0"/>
  </w:style>
  <w:style w:type="character" w:customStyle="1" w:styleId="83">
    <w:name w:val="textcontents"/>
    <w:basedOn w:val="42"/>
    <w:autoRedefine/>
    <w:qFormat/>
    <w:uiPriority w:val="0"/>
  </w:style>
  <w:style w:type="character" w:customStyle="1" w:styleId="84">
    <w:name w:val="down"/>
    <w:autoRedefine/>
    <w:qFormat/>
    <w:uiPriority w:val="0"/>
    <w:rPr>
      <w:shd w:val="clear" w:color="auto" w:fill="DAEEF9"/>
    </w:rPr>
  </w:style>
  <w:style w:type="character" w:customStyle="1" w:styleId="85">
    <w:name w:val="lsl"/>
    <w:basedOn w:val="42"/>
    <w:autoRedefine/>
    <w:qFormat/>
    <w:uiPriority w:val="0"/>
  </w:style>
  <w:style w:type="character" w:customStyle="1" w:styleId="86">
    <w:name w:val="tit"/>
    <w:basedOn w:val="42"/>
    <w:autoRedefine/>
    <w:qFormat/>
    <w:uiPriority w:val="0"/>
  </w:style>
  <w:style w:type="character" w:customStyle="1" w:styleId="87">
    <w:name w:val="sl"/>
    <w:basedOn w:val="42"/>
    <w:autoRedefine/>
    <w:qFormat/>
    <w:uiPriority w:val="0"/>
  </w:style>
  <w:style w:type="character" w:customStyle="1" w:styleId="88">
    <w:name w:val="up"/>
    <w:basedOn w:val="42"/>
    <w:autoRedefine/>
    <w:qFormat/>
    <w:uiPriority w:val="0"/>
  </w:style>
  <w:style w:type="character" w:customStyle="1" w:styleId="89">
    <w:name w:val="lsr"/>
    <w:basedOn w:val="42"/>
    <w:autoRedefine/>
    <w:qFormat/>
    <w:uiPriority w:val="0"/>
  </w:style>
  <w:style w:type="character" w:customStyle="1" w:styleId="90">
    <w:name w:val="cpb"/>
    <w:autoRedefine/>
    <w:qFormat/>
    <w:uiPriority w:val="0"/>
    <w:rPr>
      <w:color w:val="FFFFFF"/>
    </w:rPr>
  </w:style>
  <w:style w:type="character" w:customStyle="1" w:styleId="91">
    <w:name w:val="sr"/>
    <w:basedOn w:val="42"/>
    <w:autoRedefine/>
    <w:qFormat/>
    <w:uiPriority w:val="0"/>
  </w:style>
  <w:style w:type="character" w:customStyle="1" w:styleId="92">
    <w:name w:val="apple-converted-space"/>
    <w:basedOn w:val="42"/>
    <w:autoRedefine/>
    <w:qFormat/>
    <w:uiPriority w:val="0"/>
  </w:style>
  <w:style w:type="character" w:customStyle="1" w:styleId="93">
    <w:name w:val="font161"/>
    <w:autoRedefine/>
    <w:qFormat/>
    <w:uiPriority w:val="0"/>
    <w:rPr>
      <w:b/>
      <w:bCs/>
      <w:sz w:val="32"/>
      <w:szCs w:val="32"/>
    </w:rPr>
  </w:style>
  <w:style w:type="paragraph" w:customStyle="1" w:styleId="94">
    <w:name w:val="z-窗体顶端1"/>
    <w:basedOn w:val="1"/>
    <w:next w:val="1"/>
    <w:autoRedefine/>
    <w:qFormat/>
    <w:uiPriority w:val="0"/>
    <w:pPr>
      <w:pBdr>
        <w:bottom w:val="single" w:color="auto" w:sz="6" w:space="1"/>
      </w:pBdr>
      <w:jc w:val="center"/>
    </w:pPr>
    <w:rPr>
      <w:rFonts w:ascii="Arial"/>
      <w:vanish/>
      <w:sz w:val="16"/>
    </w:rPr>
  </w:style>
  <w:style w:type="paragraph" w:customStyle="1" w:styleId="95">
    <w:name w:val="表格"/>
    <w:basedOn w:val="1"/>
    <w:autoRedefine/>
    <w:qFormat/>
    <w:uiPriority w:val="0"/>
    <w:pPr>
      <w:jc w:val="center"/>
      <w:textAlignment w:val="center"/>
    </w:pPr>
    <w:rPr>
      <w:rFonts w:ascii="华文细黑" w:hAnsi="华文细黑"/>
    </w:rPr>
  </w:style>
  <w:style w:type="paragraph" w:customStyle="1" w:styleId="96">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97">
    <w:name w:val="样式 标题 1 + 黑体 三号 非加粗 居中 段前: 6 磅 段后: 6 磅 行距: 固定值 20 磅"/>
    <w:basedOn w:val="9"/>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98">
    <w:name w:val="正文 + 自动设置"/>
    <w:basedOn w:val="9"/>
    <w:autoRedefine/>
    <w:qFormat/>
    <w:uiPriority w:val="0"/>
    <w:pPr>
      <w:tabs>
        <w:tab w:val="left" w:pos="840"/>
      </w:tabs>
      <w:spacing w:before="360" w:after="360" w:line="480" w:lineRule="auto"/>
      <w:jc w:val="center"/>
    </w:pPr>
    <w:rPr>
      <w:rFonts w:eastAsia="黑体"/>
      <w:bCs w:val="0"/>
      <w:sz w:val="36"/>
      <w:szCs w:val="20"/>
    </w:rPr>
  </w:style>
  <w:style w:type="paragraph" w:customStyle="1" w:styleId="99">
    <w:name w:val="样式 标题 2 + Times New Roman 四号 非加粗 段前: 5 磅 段后: 0 磅 行距: 固定值 20..."/>
    <w:basedOn w:val="10"/>
    <w:autoRedefine/>
    <w:qFormat/>
    <w:uiPriority w:val="0"/>
    <w:pPr>
      <w:spacing w:before="100" w:after="0" w:line="400" w:lineRule="exact"/>
    </w:pPr>
    <w:rPr>
      <w:rFonts w:ascii="Times New Roman" w:hAnsi="Times New Roman" w:cs="宋体"/>
      <w:b w:val="0"/>
      <w:bCs w:val="0"/>
      <w:sz w:val="28"/>
      <w:szCs w:val="20"/>
    </w:rPr>
  </w:style>
  <w:style w:type="paragraph" w:customStyle="1" w:styleId="10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1">
    <w:name w:val="Char1"/>
    <w:basedOn w:val="1"/>
    <w:autoRedefine/>
    <w:qFormat/>
    <w:uiPriority w:val="0"/>
    <w:pPr>
      <w:adjustRightInd w:val="0"/>
      <w:spacing w:line="600" w:lineRule="exact"/>
      <w:ind w:firstLine="560" w:firstLineChars="200"/>
      <w:jc w:val="center"/>
    </w:pPr>
  </w:style>
  <w:style w:type="paragraph" w:customStyle="1" w:styleId="102">
    <w:name w:val="Char"/>
    <w:basedOn w:val="1"/>
    <w:autoRedefine/>
    <w:qFormat/>
    <w:uiPriority w:val="0"/>
    <w:rPr>
      <w:rFonts w:ascii="仿宋_GB2312" w:eastAsia="仿宋_GB2312"/>
      <w:b/>
      <w:sz w:val="32"/>
      <w:szCs w:val="32"/>
    </w:rPr>
  </w:style>
  <w:style w:type="paragraph" w:customStyle="1" w:styleId="103">
    <w:name w:val="p0"/>
    <w:basedOn w:val="1"/>
    <w:autoRedefine/>
    <w:qFormat/>
    <w:uiPriority w:val="0"/>
    <w:pPr>
      <w:widowControl/>
      <w:spacing w:line="408" w:lineRule="auto"/>
      <w:ind w:left="1"/>
      <w:textAlignment w:val="bottom"/>
    </w:pPr>
    <w:rPr>
      <w:color w:val="000000"/>
    </w:rPr>
  </w:style>
  <w:style w:type="paragraph" w:customStyle="1" w:styleId="104">
    <w:name w:val="1"/>
    <w:basedOn w:val="1"/>
    <w:next w:val="1"/>
    <w:autoRedefine/>
    <w:qFormat/>
    <w:uiPriority w:val="0"/>
  </w:style>
  <w:style w:type="paragraph" w:customStyle="1" w:styleId="105">
    <w:name w:val="默认段落字体 Para Char Char Char Char Char Char Char"/>
    <w:basedOn w:val="1"/>
    <w:autoRedefine/>
    <w:qFormat/>
    <w:uiPriority w:val="0"/>
    <w:rPr>
      <w:rFonts w:ascii="Tahoma" w:hAnsi="Tahoma"/>
      <w:sz w:val="24"/>
    </w:rPr>
  </w:style>
  <w:style w:type="paragraph" w:customStyle="1" w:styleId="106">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07">
    <w:name w:val="表格文字"/>
    <w:basedOn w:val="1"/>
    <w:autoRedefine/>
    <w:qFormat/>
    <w:uiPriority w:val="0"/>
    <w:pPr>
      <w:adjustRightInd w:val="0"/>
      <w:spacing w:line="420" w:lineRule="atLeast"/>
      <w:jc w:val="left"/>
      <w:textAlignment w:val="baseline"/>
    </w:pPr>
  </w:style>
  <w:style w:type="paragraph" w:customStyle="1" w:styleId="108">
    <w:name w:val="样式 标题 3 + (中文) 黑体 小四 非加粗 段前: 7.8 磅 段后: 0 磅 行距: 固定值 20 磅"/>
    <w:basedOn w:val="11"/>
    <w:autoRedefine/>
    <w:qFormat/>
    <w:uiPriority w:val="0"/>
    <w:pPr>
      <w:spacing w:before="0" w:after="0" w:line="400" w:lineRule="exact"/>
    </w:pPr>
    <w:rPr>
      <w:rFonts w:eastAsia="黑体" w:cs="宋体"/>
      <w:b w:val="0"/>
      <w:bCs w:val="0"/>
      <w:sz w:val="24"/>
      <w:szCs w:val="20"/>
    </w:rPr>
  </w:style>
  <w:style w:type="paragraph" w:customStyle="1" w:styleId="109">
    <w:name w:val="z-窗体底端1"/>
    <w:basedOn w:val="1"/>
    <w:next w:val="1"/>
    <w:autoRedefine/>
    <w:qFormat/>
    <w:uiPriority w:val="0"/>
    <w:pPr>
      <w:pBdr>
        <w:top w:val="single" w:color="auto" w:sz="6" w:space="1"/>
      </w:pBdr>
      <w:jc w:val="center"/>
    </w:pPr>
    <w:rPr>
      <w:rFonts w:ascii="Arial"/>
      <w:vanish/>
      <w:sz w:val="16"/>
    </w:rPr>
  </w:style>
  <w:style w:type="paragraph" w:customStyle="1" w:styleId="110">
    <w:name w:val="cjk"/>
    <w:basedOn w:val="1"/>
    <w:autoRedefine/>
    <w:qFormat/>
    <w:uiPriority w:val="0"/>
    <w:pPr>
      <w:widowControl/>
      <w:jc w:val="left"/>
    </w:pPr>
    <w:rPr>
      <w:rFonts w:hAnsi="宋体" w:cs="宋体"/>
      <w:sz w:val="24"/>
      <w:szCs w:val="24"/>
    </w:rPr>
  </w:style>
  <w:style w:type="character" w:customStyle="1" w:styleId="111">
    <w:name w:val="15"/>
    <w:autoRedefine/>
    <w:qFormat/>
    <w:uiPriority w:val="0"/>
    <w:rPr>
      <w:rFonts w:hint="default" w:ascii="Times New Roman" w:hAnsi="Times New Roman" w:cs="Times New Roman"/>
      <w:color w:val="0000FF"/>
      <w:u w:val="single"/>
    </w:rPr>
  </w:style>
  <w:style w:type="character" w:customStyle="1" w:styleId="112">
    <w:name w:val="blue"/>
    <w:basedOn w:val="42"/>
    <w:autoRedefine/>
    <w:qFormat/>
    <w:uiPriority w:val="0"/>
    <w:rPr>
      <w:color w:val="0371C6"/>
      <w:sz w:val="21"/>
      <w:szCs w:val="21"/>
    </w:rPr>
  </w:style>
  <w:style w:type="character" w:customStyle="1" w:styleId="113">
    <w:name w:val="gb-jt"/>
    <w:basedOn w:val="42"/>
    <w:autoRedefine/>
    <w:qFormat/>
    <w:uiPriority w:val="0"/>
  </w:style>
  <w:style w:type="character" w:customStyle="1" w:styleId="114">
    <w:name w:val="red"/>
    <w:basedOn w:val="42"/>
    <w:autoRedefine/>
    <w:qFormat/>
    <w:uiPriority w:val="0"/>
    <w:rPr>
      <w:color w:val="FF0000"/>
      <w:sz w:val="18"/>
      <w:szCs w:val="18"/>
    </w:rPr>
  </w:style>
  <w:style w:type="character" w:customStyle="1" w:styleId="115">
    <w:name w:val="red1"/>
    <w:basedOn w:val="42"/>
    <w:autoRedefine/>
    <w:qFormat/>
    <w:uiPriority w:val="0"/>
    <w:rPr>
      <w:color w:val="FF0000"/>
      <w:sz w:val="18"/>
      <w:szCs w:val="18"/>
    </w:rPr>
  </w:style>
  <w:style w:type="character" w:customStyle="1" w:styleId="116">
    <w:name w:val="red2"/>
    <w:basedOn w:val="42"/>
    <w:autoRedefine/>
    <w:qFormat/>
    <w:uiPriority w:val="0"/>
    <w:rPr>
      <w:color w:val="FF0000"/>
    </w:rPr>
  </w:style>
  <w:style w:type="character" w:customStyle="1" w:styleId="117">
    <w:name w:val="green"/>
    <w:basedOn w:val="42"/>
    <w:autoRedefine/>
    <w:qFormat/>
    <w:uiPriority w:val="0"/>
    <w:rPr>
      <w:color w:val="66AE00"/>
      <w:sz w:val="18"/>
      <w:szCs w:val="18"/>
    </w:rPr>
  </w:style>
  <w:style w:type="character" w:customStyle="1" w:styleId="118">
    <w:name w:val="green1"/>
    <w:basedOn w:val="42"/>
    <w:autoRedefine/>
    <w:qFormat/>
    <w:uiPriority w:val="0"/>
    <w:rPr>
      <w:color w:val="66AE00"/>
      <w:sz w:val="18"/>
      <w:szCs w:val="18"/>
    </w:rPr>
  </w:style>
  <w:style w:type="character" w:customStyle="1" w:styleId="119">
    <w:name w:val="hover25"/>
    <w:basedOn w:val="42"/>
    <w:autoRedefine/>
    <w:qFormat/>
    <w:uiPriority w:val="0"/>
  </w:style>
  <w:style w:type="character" w:customStyle="1" w:styleId="120">
    <w:name w:val="right"/>
    <w:basedOn w:val="42"/>
    <w:autoRedefine/>
    <w:qFormat/>
    <w:uiPriority w:val="0"/>
    <w:rPr>
      <w:color w:val="999999"/>
      <w:sz w:val="18"/>
      <w:szCs w:val="18"/>
    </w:rPr>
  </w:style>
  <w:style w:type="character" w:customStyle="1" w:styleId="121">
    <w:name w:val="hover"/>
    <w:basedOn w:val="42"/>
    <w:autoRedefine/>
    <w:qFormat/>
    <w:uiPriority w:val="0"/>
  </w:style>
  <w:style w:type="character" w:customStyle="1" w:styleId="122">
    <w:name w:val="red3"/>
    <w:basedOn w:val="42"/>
    <w:autoRedefine/>
    <w:qFormat/>
    <w:uiPriority w:val="0"/>
    <w:rPr>
      <w:color w:val="FF0000"/>
    </w:rPr>
  </w:style>
  <w:style w:type="character" w:customStyle="1" w:styleId="123">
    <w:name w:val="hover24"/>
    <w:basedOn w:val="42"/>
    <w:autoRedefine/>
    <w:qFormat/>
    <w:uiPriority w:val="0"/>
  </w:style>
  <w:style w:type="character" w:customStyle="1" w:styleId="124">
    <w:name w:val="正文文本缩进 Char Char"/>
    <w:link w:val="125"/>
    <w:autoRedefine/>
    <w:qFormat/>
    <w:uiPriority w:val="0"/>
    <w:rPr>
      <w:rFonts w:ascii="宋体"/>
      <w:sz w:val="24"/>
    </w:rPr>
  </w:style>
  <w:style w:type="paragraph" w:customStyle="1" w:styleId="125">
    <w:name w:val="正文文本缩进1"/>
    <w:basedOn w:val="1"/>
    <w:link w:val="124"/>
    <w:autoRedefine/>
    <w:qFormat/>
    <w:uiPriority w:val="0"/>
    <w:pPr>
      <w:spacing w:line="360" w:lineRule="auto"/>
      <w:ind w:firstLine="480" w:firstLineChars="200"/>
    </w:pPr>
    <w:rPr>
      <w:rFonts w:ascii="宋体"/>
      <w:kern w:val="0"/>
      <w:sz w:val="24"/>
      <w:szCs w:val="20"/>
    </w:rPr>
  </w:style>
  <w:style w:type="character" w:customStyle="1" w:styleId="126">
    <w:name w:val="font41"/>
    <w:basedOn w:val="42"/>
    <w:autoRedefine/>
    <w:qFormat/>
    <w:uiPriority w:val="0"/>
    <w:rPr>
      <w:rFonts w:hint="eastAsia" w:ascii="宋体" w:hAnsi="宋体" w:eastAsia="宋体" w:cs="宋体"/>
      <w:color w:val="000000"/>
      <w:sz w:val="20"/>
      <w:szCs w:val="20"/>
      <w:u w:val="none"/>
    </w:rPr>
  </w:style>
  <w:style w:type="character" w:customStyle="1" w:styleId="127">
    <w:name w:val="日期 Char Char"/>
    <w:link w:val="128"/>
    <w:autoRedefine/>
    <w:qFormat/>
    <w:uiPriority w:val="0"/>
    <w:rPr>
      <w:sz w:val="24"/>
    </w:rPr>
  </w:style>
  <w:style w:type="paragraph" w:customStyle="1" w:styleId="128">
    <w:name w:val="日期1"/>
    <w:basedOn w:val="1"/>
    <w:next w:val="1"/>
    <w:link w:val="127"/>
    <w:autoRedefine/>
    <w:qFormat/>
    <w:uiPriority w:val="0"/>
    <w:rPr>
      <w:kern w:val="0"/>
      <w:sz w:val="24"/>
      <w:szCs w:val="20"/>
    </w:rPr>
  </w:style>
  <w:style w:type="character" w:customStyle="1" w:styleId="129">
    <w:name w:val="font11"/>
    <w:basedOn w:val="42"/>
    <w:autoRedefine/>
    <w:qFormat/>
    <w:uiPriority w:val="0"/>
    <w:rPr>
      <w:rFonts w:hint="eastAsia" w:ascii="宋体" w:hAnsi="宋体" w:eastAsia="宋体" w:cs="宋体"/>
      <w:b/>
      <w:color w:val="000000"/>
      <w:sz w:val="20"/>
      <w:szCs w:val="20"/>
      <w:u w:val="none"/>
    </w:rPr>
  </w:style>
  <w:style w:type="character" w:customStyle="1" w:styleId="130">
    <w:name w:val="批注主题 Char"/>
    <w:basedOn w:val="66"/>
    <w:autoRedefine/>
    <w:qFormat/>
    <w:uiPriority w:val="99"/>
    <w:rPr>
      <w:rFonts w:ascii="宋体" w:hAnsi="Times New Roman"/>
      <w:b/>
      <w:bCs/>
      <w:kern w:val="2"/>
      <w:sz w:val="21"/>
      <w:szCs w:val="22"/>
    </w:rPr>
  </w:style>
  <w:style w:type="character" w:customStyle="1" w:styleId="131">
    <w:name w:val="HTML 预设格式 字符"/>
    <w:basedOn w:val="42"/>
    <w:link w:val="36"/>
    <w:autoRedefine/>
    <w:qFormat/>
    <w:uiPriority w:val="99"/>
    <w:rPr>
      <w:rFonts w:ascii="宋体" w:hAnsi="宋体"/>
      <w:sz w:val="24"/>
      <w:szCs w:val="24"/>
    </w:rPr>
  </w:style>
  <w:style w:type="character" w:customStyle="1" w:styleId="132">
    <w:name w:val="批注主题 字符"/>
    <w:basedOn w:val="66"/>
    <w:link w:val="39"/>
    <w:autoRedefine/>
    <w:semiHidden/>
    <w:qFormat/>
    <w:uiPriority w:val="99"/>
    <w:rPr>
      <w:rFonts w:ascii="宋体" w:hAnsi="Times New Roman"/>
      <w:b/>
      <w:bCs/>
      <w:kern w:val="2"/>
      <w:sz w:val="21"/>
      <w:szCs w:val="22"/>
    </w:rPr>
  </w:style>
  <w:style w:type="paragraph" w:customStyle="1" w:styleId="133">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34">
    <w:name w:val="修订1"/>
    <w:autoRedefine/>
    <w:unhideWhenUsed/>
    <w:qFormat/>
    <w:uiPriority w:val="99"/>
    <w:rPr>
      <w:rFonts w:ascii="Calibri" w:hAnsi="Calibri" w:eastAsia="宋体" w:cs="Times New Roman"/>
      <w:kern w:val="2"/>
      <w:sz w:val="21"/>
      <w:szCs w:val="22"/>
      <w:lang w:val="en-US" w:eastAsia="zh-CN" w:bidi="ar-SA"/>
    </w:rPr>
  </w:style>
  <w:style w:type="paragraph" w:customStyle="1" w:styleId="135">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36">
    <w:name w:val="List Paragraph1"/>
    <w:basedOn w:val="1"/>
    <w:autoRedefine/>
    <w:qFormat/>
    <w:uiPriority w:val="99"/>
    <w:pPr>
      <w:ind w:firstLine="420" w:firstLineChars="200"/>
    </w:pPr>
    <w:rPr>
      <w:rFonts w:ascii="Times New Roman" w:hAnsi="Times New Roman"/>
      <w:szCs w:val="24"/>
    </w:rPr>
  </w:style>
  <w:style w:type="paragraph" w:styleId="137">
    <w:name w:val="List Paragraph"/>
    <w:basedOn w:val="1"/>
    <w:autoRedefine/>
    <w:qFormat/>
    <w:uiPriority w:val="99"/>
    <w:pPr>
      <w:ind w:firstLine="420" w:firstLineChars="200"/>
    </w:pPr>
  </w:style>
  <w:style w:type="character" w:customStyle="1" w:styleId="138">
    <w:name w:val="NormalCharacter"/>
    <w:autoRedefine/>
    <w:qFormat/>
    <w:uiPriority w:val="0"/>
  </w:style>
  <w:style w:type="paragraph" w:customStyle="1" w:styleId="139">
    <w:name w:val="纯文本1"/>
    <w:basedOn w:val="1"/>
    <w:autoRedefine/>
    <w:qFormat/>
    <w:uiPriority w:val="99"/>
    <w:rPr>
      <w:rFonts w:cs="黑体"/>
      <w:sz w:val="24"/>
    </w:rPr>
  </w:style>
  <w:style w:type="paragraph" w:customStyle="1" w:styleId="140">
    <w:name w:val="Table Paragraph"/>
    <w:basedOn w:val="1"/>
    <w:autoRedefine/>
    <w:qFormat/>
    <w:uiPriority w:val="1"/>
    <w:rPr>
      <w:rFonts w:ascii="宋体" w:hAnsi="宋体" w:cs="宋体"/>
      <w:szCs w:val="20"/>
      <w:lang w:val="zh-CN" w:bidi="zh-CN"/>
    </w:rPr>
  </w:style>
  <w:style w:type="character" w:customStyle="1" w:styleId="141">
    <w:name w:val="font51"/>
    <w:basedOn w:val="42"/>
    <w:autoRedefine/>
    <w:qFormat/>
    <w:uiPriority w:val="0"/>
    <w:rPr>
      <w:rFonts w:ascii="宋体" w:hAnsi="宋体" w:eastAsia="宋体" w:cs="宋体"/>
      <w:color w:val="000000"/>
      <w:sz w:val="24"/>
      <w:szCs w:val="24"/>
      <w:u w:val="none"/>
    </w:rPr>
  </w:style>
  <w:style w:type="character" w:customStyle="1" w:styleId="142">
    <w:name w:val="font01"/>
    <w:basedOn w:val="42"/>
    <w:autoRedefine/>
    <w:qFormat/>
    <w:uiPriority w:val="0"/>
    <w:rPr>
      <w:rFonts w:hint="eastAsia" w:ascii="宋体" w:hAnsi="宋体" w:eastAsia="宋体" w:cs="宋体"/>
      <w:color w:val="000000"/>
      <w:sz w:val="18"/>
      <w:szCs w:val="18"/>
      <w:u w:val="none"/>
    </w:rPr>
  </w:style>
  <w:style w:type="paragraph" w:customStyle="1" w:styleId="143">
    <w:name w:val="UserStyle_99"/>
    <w:basedOn w:val="1"/>
    <w:autoRedefine/>
    <w:qFormat/>
    <w:uiPriority w:val="0"/>
    <w:pPr>
      <w:ind w:firstLine="420" w:firstLineChars="200"/>
      <w:jc w:val="both"/>
      <w:textAlignment w:val="baseline"/>
    </w:pPr>
  </w:style>
  <w:style w:type="paragraph" w:customStyle="1" w:styleId="144">
    <w:name w:val="179"/>
    <w:basedOn w:val="1"/>
    <w:autoRedefine/>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145">
    <w:name w:val="icon_ds"/>
    <w:basedOn w:val="42"/>
    <w:autoRedefine/>
    <w:qFormat/>
    <w:uiPriority w:val="0"/>
  </w:style>
  <w:style w:type="character" w:customStyle="1" w:styleId="146">
    <w:name w:val="first-child"/>
    <w:basedOn w:val="42"/>
    <w:autoRedefine/>
    <w:qFormat/>
    <w:uiPriority w:val="0"/>
    <w:rPr>
      <w:color w:val="1F3149"/>
      <w:sz w:val="24"/>
      <w:szCs w:val="24"/>
    </w:rPr>
  </w:style>
  <w:style w:type="character" w:customStyle="1" w:styleId="147">
    <w:name w:val="xiadan"/>
    <w:basedOn w:val="42"/>
    <w:autoRedefine/>
    <w:qFormat/>
    <w:uiPriority w:val="0"/>
    <w:rPr>
      <w:shd w:val="clear" w:fill="E4393C"/>
    </w:rPr>
  </w:style>
  <w:style w:type="character" w:customStyle="1" w:styleId="148">
    <w:name w:val="icon_gys"/>
    <w:basedOn w:val="42"/>
    <w:autoRedefine/>
    <w:qFormat/>
    <w:uiPriority w:val="0"/>
    <w:rPr>
      <w:sz w:val="21"/>
      <w:szCs w:val="21"/>
    </w:rPr>
  </w:style>
  <w:style w:type="character" w:customStyle="1" w:styleId="149">
    <w:name w:val="fr"/>
    <w:basedOn w:val="42"/>
    <w:autoRedefine/>
    <w:qFormat/>
    <w:uiPriority w:val="0"/>
  </w:style>
  <w:style w:type="character" w:customStyle="1" w:styleId="150">
    <w:name w:val="first-child1"/>
    <w:basedOn w:val="42"/>
    <w:autoRedefine/>
    <w:qFormat/>
    <w:uiPriority w:val="0"/>
    <w:rPr>
      <w:color w:val="1F3149"/>
      <w:sz w:val="24"/>
      <w:szCs w:val="24"/>
    </w:rPr>
  </w:style>
  <w:style w:type="character" w:customStyle="1" w:styleId="151">
    <w:name w:val="first-child2"/>
    <w:basedOn w:val="42"/>
    <w:autoRedefine/>
    <w:qFormat/>
    <w:uiPriority w:val="0"/>
    <w:rPr>
      <w:color w:val="1F3149"/>
      <w:sz w:val="24"/>
      <w:szCs w:val="24"/>
    </w:rPr>
  </w:style>
  <w:style w:type="character" w:customStyle="1" w:styleId="152">
    <w:name w:val="icon_ds1"/>
    <w:basedOn w:val="42"/>
    <w:autoRedefine/>
    <w:qFormat/>
    <w:uiPriority w:val="0"/>
    <w:rPr>
      <w:sz w:val="21"/>
      <w:szCs w:val="21"/>
    </w:rPr>
  </w:style>
  <w:style w:type="paragraph" w:customStyle="1" w:styleId="153">
    <w:name w:val="HtmlNormal"/>
    <w:basedOn w:val="1"/>
    <w:autoRedefine/>
    <w:qFormat/>
    <w:uiPriority w:val="0"/>
    <w:rPr>
      <w:sz w:val="24"/>
      <w:szCs w:val="24"/>
    </w:rPr>
  </w:style>
  <w:style w:type="paragraph" w:customStyle="1" w:styleId="154">
    <w:name w:val="表格文字2"/>
    <w:basedOn w:val="1"/>
    <w:autoRedefine/>
    <w:qFormat/>
    <w:uiPriority w:val="99"/>
    <w:pPr>
      <w:spacing w:before="25" w:after="25"/>
    </w:pPr>
    <w:rPr>
      <w:bCs/>
      <w:spacing w:val="10"/>
    </w:rPr>
  </w:style>
  <w:style w:type="paragraph" w:customStyle="1" w:styleId="155">
    <w:name w:val="1正文"/>
    <w:basedOn w:val="1"/>
    <w:autoRedefine/>
    <w:qFormat/>
    <w:uiPriority w:val="0"/>
    <w:pPr>
      <w:spacing w:line="360" w:lineRule="auto"/>
      <w:ind w:firstLine="200" w:firstLineChars="200"/>
    </w:pPr>
    <w:rPr>
      <w:sz w:val="24"/>
      <w:szCs w:val="24"/>
    </w:rPr>
  </w:style>
  <w:style w:type="character" w:customStyle="1" w:styleId="156">
    <w:name w:val="active4"/>
    <w:basedOn w:val="42"/>
    <w:autoRedefine/>
    <w:qFormat/>
    <w:uiPriority w:val="0"/>
    <w:rPr>
      <w:color w:val="FFFFFF"/>
      <w:shd w:val="clear" w:fill="2B7AFC"/>
    </w:rPr>
  </w:style>
  <w:style w:type="paragraph" w:customStyle="1" w:styleId="157">
    <w:name w:val="Table Text"/>
    <w:basedOn w:val="1"/>
    <w:autoRedefine/>
    <w:semiHidden/>
    <w:qFormat/>
    <w:uiPriority w:val="0"/>
    <w:pPr>
      <w:widowControl w:val="0"/>
      <w:spacing w:after="0" w:line="240" w:lineRule="auto"/>
      <w:jc w:val="both"/>
    </w:pPr>
    <w:rPr>
      <w:rFonts w:ascii="宋体" w:hAnsi="宋体" w:eastAsia="宋体" w:cs="宋体"/>
      <w:kern w:val="2"/>
      <w:sz w:val="22"/>
      <w:szCs w:val="22"/>
      <w:lang w:eastAsia="en-US" w:bidi="ar-SA"/>
    </w:rPr>
  </w:style>
  <w:style w:type="paragraph" w:customStyle="1" w:styleId="158">
    <w:name w:val="Body text|1"/>
    <w:basedOn w:val="1"/>
    <w:autoRedefine/>
    <w:qFormat/>
    <w:uiPriority w:val="0"/>
    <w:pPr>
      <w:spacing w:line="430"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68</Pages>
  <Words>10298</Words>
  <Characters>11220</Characters>
  <Lines>283</Lines>
  <Paragraphs>79</Paragraphs>
  <TotalTime>22</TotalTime>
  <ScaleCrop>false</ScaleCrop>
  <LinksUpToDate>false</LinksUpToDate>
  <CharactersWithSpaces>11284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W . Y.</cp:lastModifiedBy>
  <cp:lastPrinted>2024-11-05T03:21:00Z</cp:lastPrinted>
  <dcterms:modified xsi:type="dcterms:W3CDTF">2024-11-05T07:16:45Z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C583705D566D47D6B42C8CB56E4A928C_13</vt:lpwstr>
  </property>
</Properties>
</file>